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32" w:rsidRDefault="00EC2132" w:rsidP="00EC2132">
      <w:pPr>
        <w:jc w:val="center"/>
        <w:rPr>
          <w:b/>
          <w:sz w:val="28"/>
          <w:szCs w:val="28"/>
          <w:u w:val="single"/>
        </w:rPr>
      </w:pPr>
      <w:bookmarkStart w:id="0" w:name="_GoBack"/>
      <w:bookmarkEnd w:id="0"/>
      <w:r>
        <w:rPr>
          <w:b/>
          <w:sz w:val="28"/>
          <w:u w:val="single"/>
        </w:rPr>
        <w:t>Ενισχύσεις για τον πολιτισμό και τη διατήρηση της κληρονομιάς</w:t>
      </w:r>
    </w:p>
    <w:p w:rsidR="00EC2132" w:rsidRDefault="00EC2132" w:rsidP="00EC2132">
      <w:pPr>
        <w:jc w:val="center"/>
        <w:rPr>
          <w:b/>
          <w:sz w:val="28"/>
          <w:szCs w:val="28"/>
          <w:u w:val="single"/>
        </w:rPr>
      </w:pPr>
      <w:r>
        <w:rPr>
          <w:b/>
          <w:sz w:val="28"/>
          <w:u w:val="single"/>
        </w:rPr>
        <w:t>Κατάλογος σημείων προς έλεγχο, για τις ενισχύσεις που χορηγούνται βάσει του ΓΚΑΚ του 2014 (κανονισμός 651/2014 όπως τροποποιήθηκε με τον κανονισμό 2017/1084)</w:t>
      </w:r>
    </w:p>
    <w:p w:rsidR="005D42EC" w:rsidRPr="00762A83" w:rsidRDefault="005D42EC" w:rsidP="005D42EC">
      <w:r w:rsidRPr="00762A83">
        <w:rPr>
          <w:color w:val="000000"/>
        </w:rPr>
        <w:t>Πρώτα ελέγξτε</w:t>
      </w:r>
      <w:r>
        <w:rPr>
          <w:color w:val="000000"/>
          <w:lang w:val="en-GB"/>
        </w:rPr>
        <w:t xml:space="preserve"> </w:t>
      </w:r>
      <w:r>
        <w:rPr>
          <w:color w:val="000000"/>
        </w:rPr>
        <w:t xml:space="preserve">βάσει των κοινών διατάξεων </w:t>
      </w:r>
      <w:r w:rsidRPr="00762A83">
        <w:rPr>
          <w:color w:val="000000"/>
        </w:rPr>
        <w:t>του ΓΚΑΚ (άρθρα 1-12). Στη συνέχεια ελέγξτε</w:t>
      </w:r>
      <w:r>
        <w:rPr>
          <w:color w:val="000000"/>
        </w:rPr>
        <w:t xml:space="preserve"> βάσει των ειδικών διατάξεων </w:t>
      </w:r>
      <w:r w:rsidRPr="00762A83">
        <w:rPr>
          <w:color w:val="000000"/>
        </w:rPr>
        <w:t>που προβλέπονται στα τμήματα μετά το τμήμα Α.</w:t>
      </w:r>
    </w:p>
    <w:p w:rsidR="007D461F" w:rsidRPr="00FC2121" w:rsidRDefault="005D42EC" w:rsidP="005D42EC">
      <w:pPr>
        <w:jc w:val="center"/>
        <w:rPr>
          <w:b/>
          <w:sz w:val="22"/>
          <w:szCs w:val="22"/>
          <w:u w:val="single"/>
          <w:lang w:val="en-GB"/>
        </w:rPr>
      </w:pPr>
      <w:r w:rsidRPr="007C5B36">
        <w:rPr>
          <w:b/>
          <w:sz w:val="22"/>
          <w:szCs w:val="22"/>
          <w:u w:val="single"/>
        </w:rPr>
        <w:t>A. Κοινές διατάξεις εφαρμογής</w:t>
      </w:r>
    </w:p>
    <w:p w:rsidR="007D461F" w:rsidRPr="001161D2" w:rsidRDefault="007D461F" w:rsidP="001161D2">
      <w:pPr>
        <w:rPr>
          <w:sz w:val="22"/>
          <w:szCs w:val="22"/>
        </w:rPr>
      </w:pPr>
    </w:p>
    <w:tbl>
      <w:tblPr>
        <w:tblW w:w="14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3"/>
        <w:gridCol w:w="6379"/>
      </w:tblGrid>
      <w:tr w:rsidR="00EC2132" w:rsidRPr="00E93688" w:rsidTr="007A1162">
        <w:trPr>
          <w:trHeight w:val="145"/>
        </w:trPr>
        <w:tc>
          <w:tcPr>
            <w:tcW w:w="8233" w:type="dxa"/>
            <w:tcBorders>
              <w:bottom w:val="single" w:sz="4" w:space="0" w:color="auto"/>
            </w:tcBorders>
            <w:shd w:val="clear" w:color="auto" w:fill="B8CCE4"/>
          </w:tcPr>
          <w:p w:rsidR="000E10AB" w:rsidRPr="00E93688" w:rsidRDefault="00593387" w:rsidP="001161D2">
            <w:pPr>
              <w:tabs>
                <w:tab w:val="center" w:pos="3549"/>
              </w:tabs>
              <w:ind w:left="360"/>
              <w:rPr>
                <w:b/>
                <w:smallCaps/>
                <w:sz w:val="22"/>
                <w:szCs w:val="22"/>
              </w:rPr>
            </w:pPr>
            <w:r>
              <w:tab/>
            </w:r>
            <w:r>
              <w:rPr>
                <w:b/>
                <w:smallCaps/>
                <w:sz w:val="22"/>
              </w:rPr>
              <w:t>Γενικοί όροι συμβατότητας</w:t>
            </w:r>
          </w:p>
        </w:tc>
        <w:tc>
          <w:tcPr>
            <w:tcW w:w="6379" w:type="dxa"/>
            <w:shd w:val="clear" w:color="auto" w:fill="B8CCE4"/>
          </w:tcPr>
          <w:p w:rsidR="000E10AB" w:rsidRPr="00E93688" w:rsidRDefault="00FC2121" w:rsidP="001161D2">
            <w:pPr>
              <w:jc w:val="center"/>
              <w:rPr>
                <w:b/>
                <w:smallCaps/>
                <w:sz w:val="22"/>
                <w:szCs w:val="22"/>
              </w:rPr>
            </w:pPr>
            <w:r>
              <w:rPr>
                <w:b/>
                <w:smallCaps/>
                <w:sz w:val="22"/>
                <w:lang w:val="en-GB"/>
              </w:rPr>
              <w:t>E</w:t>
            </w:r>
            <w:proofErr w:type="spellStart"/>
            <w:r w:rsidR="000E10AB">
              <w:rPr>
                <w:b/>
                <w:smallCaps/>
                <w:sz w:val="22"/>
              </w:rPr>
              <w:t>λεγχος</w:t>
            </w:r>
            <w:proofErr w:type="spellEnd"/>
            <w:r w:rsidR="000E10AB">
              <w:rPr>
                <w:b/>
                <w:smallCaps/>
                <w:sz w:val="22"/>
              </w:rPr>
              <w:t xml:space="preserve"> συμμόρφωσης (</w:t>
            </w:r>
            <w:proofErr w:type="gramStart"/>
            <w:r w:rsidR="000E10AB">
              <w:rPr>
                <w:b/>
                <w:smallCaps/>
                <w:sz w:val="22"/>
              </w:rPr>
              <w:t>OK;</w:t>
            </w:r>
            <w:proofErr w:type="gramEnd"/>
            <w:r w:rsidR="000E10AB">
              <w:rPr>
                <w:b/>
                <w:smallCaps/>
                <w:sz w:val="22"/>
              </w:rPr>
              <w:t>)</w:t>
            </w:r>
          </w:p>
        </w:tc>
      </w:tr>
      <w:tr w:rsidR="00652617" w:rsidRPr="001161D2" w:rsidTr="007F0757">
        <w:trPr>
          <w:trHeight w:val="145"/>
        </w:trPr>
        <w:tc>
          <w:tcPr>
            <w:tcW w:w="8233" w:type="dxa"/>
            <w:shd w:val="clear" w:color="auto" w:fill="D9D9D9"/>
          </w:tcPr>
          <w:p w:rsidR="00652617" w:rsidRPr="001161D2" w:rsidRDefault="00652617" w:rsidP="00AE3359">
            <w:pPr>
              <w:rPr>
                <w:b/>
                <w:sz w:val="22"/>
                <w:szCs w:val="22"/>
              </w:rPr>
            </w:pPr>
            <w:r>
              <w:rPr>
                <w:b/>
                <w:sz w:val="22"/>
              </w:rPr>
              <w:t>Άρθρο 1 —</w:t>
            </w:r>
          </w:p>
        </w:tc>
        <w:tc>
          <w:tcPr>
            <w:tcW w:w="6379" w:type="dxa"/>
            <w:shd w:val="clear" w:color="auto" w:fill="D9D9D9"/>
          </w:tcPr>
          <w:p w:rsidR="00652617" w:rsidRPr="001161D2" w:rsidRDefault="00652617" w:rsidP="006C6F59">
            <w:pPr>
              <w:rPr>
                <w:sz w:val="22"/>
                <w:szCs w:val="22"/>
              </w:rPr>
            </w:pPr>
          </w:p>
        </w:tc>
      </w:tr>
      <w:tr w:rsidR="000E10AB" w:rsidRPr="001161D2" w:rsidTr="00895393">
        <w:trPr>
          <w:trHeight w:val="145"/>
        </w:trPr>
        <w:tc>
          <w:tcPr>
            <w:tcW w:w="8233" w:type="dxa"/>
            <w:shd w:val="clear" w:color="auto" w:fill="D9D9D9"/>
          </w:tcPr>
          <w:p w:rsidR="000E10AB" w:rsidRPr="001161D2" w:rsidRDefault="000E10AB" w:rsidP="00AE3359">
            <w:pPr>
              <w:rPr>
                <w:b/>
                <w:sz w:val="22"/>
                <w:szCs w:val="22"/>
              </w:rPr>
            </w:pPr>
            <w:r>
              <w:rPr>
                <w:b/>
                <w:sz w:val="22"/>
              </w:rPr>
              <w:t>Άρθρο 1 — Αποκλεισμός ορισμένων δραστηριοτήτων (παράγραφος 2)</w:t>
            </w:r>
          </w:p>
        </w:tc>
        <w:tc>
          <w:tcPr>
            <w:tcW w:w="6379" w:type="dxa"/>
            <w:vMerge w:val="restart"/>
            <w:shd w:val="clear" w:color="auto" w:fill="auto"/>
          </w:tcPr>
          <w:p w:rsidR="000E10AB" w:rsidRPr="001161D2" w:rsidRDefault="000E10AB" w:rsidP="006C6F59">
            <w:pPr>
              <w:rPr>
                <w:sz w:val="22"/>
                <w:szCs w:val="22"/>
              </w:rPr>
            </w:pPr>
          </w:p>
        </w:tc>
      </w:tr>
      <w:tr w:rsidR="000E10AB" w:rsidRPr="001161D2" w:rsidTr="00895393">
        <w:trPr>
          <w:trHeight w:val="145"/>
        </w:trPr>
        <w:tc>
          <w:tcPr>
            <w:tcW w:w="8233" w:type="dxa"/>
            <w:tcBorders>
              <w:bottom w:val="single" w:sz="4" w:space="0" w:color="auto"/>
            </w:tcBorders>
            <w:shd w:val="clear" w:color="auto" w:fill="auto"/>
          </w:tcPr>
          <w:p w:rsidR="000E10AB" w:rsidRPr="001161D2" w:rsidRDefault="000E10AB" w:rsidP="00AE3359">
            <w:pPr>
              <w:numPr>
                <w:ilvl w:val="0"/>
                <w:numId w:val="1"/>
              </w:numPr>
              <w:tabs>
                <w:tab w:val="clear" w:pos="720"/>
                <w:tab w:val="num" w:pos="328"/>
              </w:tabs>
              <w:ind w:left="328" w:hanging="283"/>
              <w:jc w:val="both"/>
              <w:rPr>
                <w:sz w:val="22"/>
                <w:szCs w:val="22"/>
              </w:rPr>
            </w:pPr>
            <w:r>
              <w:rPr>
                <w:sz w:val="22"/>
              </w:rPr>
              <w:t xml:space="preserve">στις ενισχύσεις για δραστηριότητες που σχετίζονται με εξαγωγές· </w:t>
            </w:r>
          </w:p>
          <w:p w:rsidR="000E10AB" w:rsidRPr="001161D2" w:rsidRDefault="000E10AB" w:rsidP="006C6F59">
            <w:pPr>
              <w:numPr>
                <w:ilvl w:val="0"/>
                <w:numId w:val="1"/>
              </w:numPr>
              <w:tabs>
                <w:tab w:val="clear" w:pos="720"/>
                <w:tab w:val="num" w:pos="328"/>
              </w:tabs>
              <w:ind w:left="328" w:hanging="283"/>
              <w:jc w:val="both"/>
              <w:rPr>
                <w:sz w:val="22"/>
                <w:szCs w:val="22"/>
              </w:rPr>
            </w:pPr>
            <w:r>
              <w:rPr>
                <w:sz w:val="22"/>
              </w:rPr>
              <w:t>στις ενισχύσεις που εξαρτώνται από την κατά προτίμηση χρήση εγχώριων προϊόντων αντί των εισαγομένων.</w:t>
            </w:r>
          </w:p>
        </w:tc>
        <w:tc>
          <w:tcPr>
            <w:tcW w:w="6379" w:type="dxa"/>
            <w:vMerge/>
            <w:shd w:val="clear" w:color="auto" w:fill="auto"/>
          </w:tcPr>
          <w:p w:rsidR="000E10AB" w:rsidRPr="001161D2" w:rsidRDefault="000E10AB" w:rsidP="001161D2">
            <w:pPr>
              <w:rPr>
                <w:sz w:val="22"/>
                <w:szCs w:val="22"/>
              </w:rPr>
            </w:pPr>
          </w:p>
        </w:tc>
      </w:tr>
      <w:tr w:rsidR="000E10AB" w:rsidRPr="001161D2" w:rsidTr="00895393">
        <w:trPr>
          <w:trHeight w:val="145"/>
        </w:trPr>
        <w:tc>
          <w:tcPr>
            <w:tcW w:w="8233" w:type="dxa"/>
            <w:shd w:val="clear" w:color="auto" w:fill="D9D9D9"/>
          </w:tcPr>
          <w:p w:rsidR="000E10AB" w:rsidRPr="001161D2" w:rsidRDefault="000E10AB" w:rsidP="00AE3359">
            <w:pPr>
              <w:jc w:val="both"/>
              <w:rPr>
                <w:b/>
                <w:sz w:val="22"/>
                <w:szCs w:val="22"/>
              </w:rPr>
            </w:pPr>
            <w:r>
              <w:rPr>
                <w:b/>
                <w:sz w:val="22"/>
              </w:rPr>
              <w:t>Άρθρο 1 — Αποκλεισμός ορισμένων τομέων (παράγραφος 3)</w:t>
            </w:r>
          </w:p>
        </w:tc>
        <w:tc>
          <w:tcPr>
            <w:tcW w:w="6379" w:type="dxa"/>
            <w:vMerge w:val="restart"/>
            <w:shd w:val="clear" w:color="auto" w:fill="auto"/>
          </w:tcPr>
          <w:p w:rsidR="000E10AB" w:rsidRPr="001161D2" w:rsidRDefault="000E10AB" w:rsidP="006C6F59">
            <w:pPr>
              <w:rPr>
                <w:sz w:val="22"/>
                <w:szCs w:val="22"/>
              </w:rPr>
            </w:pPr>
          </w:p>
        </w:tc>
      </w:tr>
      <w:tr w:rsidR="000E10AB" w:rsidRPr="001161D2" w:rsidTr="00895393">
        <w:trPr>
          <w:trHeight w:val="145"/>
        </w:trPr>
        <w:tc>
          <w:tcPr>
            <w:tcW w:w="8233" w:type="dxa"/>
            <w:tcBorders>
              <w:bottom w:val="single" w:sz="4" w:space="0" w:color="auto"/>
            </w:tcBorders>
            <w:shd w:val="clear" w:color="auto" w:fill="auto"/>
          </w:tcPr>
          <w:p w:rsidR="00624CDE" w:rsidRPr="00834ED4" w:rsidRDefault="00624CDE" w:rsidP="00AE3359">
            <w:pPr>
              <w:numPr>
                <w:ilvl w:val="0"/>
                <w:numId w:val="2"/>
              </w:numPr>
              <w:tabs>
                <w:tab w:val="clear" w:pos="720"/>
                <w:tab w:val="num" w:pos="328"/>
              </w:tabs>
              <w:ind w:left="328" w:hanging="283"/>
              <w:jc w:val="both"/>
              <w:rPr>
                <w:sz w:val="22"/>
                <w:szCs w:val="22"/>
              </w:rPr>
            </w:pPr>
            <w:r>
              <w:rPr>
                <w:sz w:val="22"/>
              </w:rPr>
              <w:t xml:space="preserve">Αλιεία και υδατοκαλλιέργεια* (όπως στον κανονισμό 1379/2013)· </w:t>
            </w:r>
          </w:p>
          <w:p w:rsidR="00624CDE" w:rsidRPr="001161D2" w:rsidRDefault="00624CDE" w:rsidP="006C6F59">
            <w:pPr>
              <w:numPr>
                <w:ilvl w:val="0"/>
                <w:numId w:val="2"/>
              </w:numPr>
              <w:tabs>
                <w:tab w:val="clear" w:pos="720"/>
                <w:tab w:val="num" w:pos="328"/>
              </w:tabs>
              <w:ind w:left="328" w:hanging="283"/>
              <w:rPr>
                <w:sz w:val="22"/>
                <w:szCs w:val="22"/>
              </w:rPr>
            </w:pPr>
            <w:r>
              <w:rPr>
                <w:sz w:val="22"/>
              </w:rPr>
              <w:t xml:space="preserve">Πρωτογενής παραγωγή γεωργικών προϊόντων* </w:t>
            </w:r>
          </w:p>
          <w:p w:rsidR="00624CDE" w:rsidRPr="006179D0" w:rsidRDefault="00624CDE" w:rsidP="006C6F59">
            <w:pPr>
              <w:numPr>
                <w:ilvl w:val="0"/>
                <w:numId w:val="2"/>
              </w:numPr>
              <w:tabs>
                <w:tab w:val="clear" w:pos="720"/>
                <w:tab w:val="num" w:pos="328"/>
              </w:tabs>
              <w:autoSpaceDE w:val="0"/>
              <w:autoSpaceDN w:val="0"/>
              <w:adjustRightInd w:val="0"/>
              <w:ind w:left="328" w:hanging="283"/>
              <w:jc w:val="both"/>
              <w:rPr>
                <w:sz w:val="22"/>
                <w:szCs w:val="22"/>
              </w:rPr>
            </w:pPr>
            <w:r>
              <w:rPr>
                <w:sz w:val="22"/>
              </w:rPr>
              <w:t>Μεταποίηση και εμπορία γεωργικών προϊόντων* αν το ποσό της ενίσχυσης καθορίζεται με βάση την τιμή ή την ποσότητα των εν λόγω προϊόντων που αγοράζονται από πρωτογενείς παραγωγούς ή διατίθενται στην αγορά από τις οικείες επιχειρήσεις· ή όταν η ενίσχυση συνοδεύεται από την υποχρέωση της απόδοσής της εν μέρει ή εξολοκλήρου σε πρωτογενείς παραγωγούς·</w:t>
            </w:r>
          </w:p>
          <w:p w:rsidR="000E10AB" w:rsidRPr="00B07819" w:rsidRDefault="00624CDE" w:rsidP="00E93688">
            <w:pPr>
              <w:numPr>
                <w:ilvl w:val="0"/>
                <w:numId w:val="2"/>
              </w:numPr>
              <w:tabs>
                <w:tab w:val="clear" w:pos="720"/>
                <w:tab w:val="num" w:pos="328"/>
              </w:tabs>
              <w:ind w:left="328" w:hanging="283"/>
              <w:jc w:val="both"/>
              <w:rPr>
                <w:sz w:val="22"/>
                <w:szCs w:val="22"/>
              </w:rPr>
            </w:pPr>
            <w:r>
              <w:rPr>
                <w:sz w:val="22"/>
              </w:rPr>
              <w:t xml:space="preserve">Ενισχύσεις που διευκολύνουν την παύση λειτουργίας μη ανταγωνιστικών ανθρακωρυχείων (απόφαση 2010/787 του Συμβουλίου)· </w:t>
            </w:r>
            <w:r>
              <w:rPr>
                <w:i/>
                <w:sz w:val="22"/>
              </w:rPr>
              <w:t>* Αν μια επιχείρηση δραστηριοποιείται επίσης σε τομείς που εμπίπτουν στο πεδίο εφαρμογής του εν λόγω κανονισμού, ο κανονισμός εφαρμόζεται στις ενισχύσεις που χορηγούνται στους τομείς αυτούς, υπό την προϋπόθεση ότι τα κράτη μέλη εξασφαλίζουν ότι οι δραστηριότητες που ασκούνται στους εξαιρούμενους τομείς δεν επωφελούνται από τις ενισχύσεις</w:t>
            </w:r>
          </w:p>
        </w:tc>
        <w:tc>
          <w:tcPr>
            <w:tcW w:w="6379" w:type="dxa"/>
            <w:vMerge/>
            <w:shd w:val="clear" w:color="auto" w:fill="auto"/>
          </w:tcPr>
          <w:p w:rsidR="000E10AB" w:rsidRPr="001161D2" w:rsidRDefault="000E10AB" w:rsidP="001161D2">
            <w:pPr>
              <w:rPr>
                <w:sz w:val="22"/>
                <w:szCs w:val="22"/>
              </w:rPr>
            </w:pPr>
          </w:p>
        </w:tc>
      </w:tr>
      <w:tr w:rsidR="000E10AB" w:rsidRPr="001161D2" w:rsidTr="00895393">
        <w:trPr>
          <w:trHeight w:val="145"/>
        </w:trPr>
        <w:tc>
          <w:tcPr>
            <w:tcW w:w="8233" w:type="dxa"/>
            <w:shd w:val="clear" w:color="auto" w:fill="D9D9D9"/>
          </w:tcPr>
          <w:p w:rsidR="000E10AB" w:rsidRPr="001161D2" w:rsidRDefault="000E10AB" w:rsidP="00AE3359">
            <w:pPr>
              <w:jc w:val="both"/>
              <w:rPr>
                <w:b/>
                <w:sz w:val="22"/>
                <w:szCs w:val="22"/>
              </w:rPr>
            </w:pPr>
            <w:r>
              <w:rPr>
                <w:b/>
                <w:sz w:val="22"/>
              </w:rPr>
              <w:t>Άρθρο 1 — Αποκλεισμός των επιχειρήσεων τις οποίες αφορά ο κανόνας Deggendorf (παράγραφος 4)</w:t>
            </w:r>
          </w:p>
        </w:tc>
        <w:tc>
          <w:tcPr>
            <w:tcW w:w="6379" w:type="dxa"/>
            <w:vMerge w:val="restart"/>
            <w:shd w:val="clear" w:color="auto" w:fill="auto"/>
          </w:tcPr>
          <w:p w:rsidR="000E10AB" w:rsidRPr="001161D2" w:rsidRDefault="000E10AB" w:rsidP="006C6F59">
            <w:pPr>
              <w:rPr>
                <w:sz w:val="22"/>
                <w:szCs w:val="22"/>
              </w:rPr>
            </w:pPr>
          </w:p>
        </w:tc>
      </w:tr>
      <w:tr w:rsidR="000E10AB" w:rsidRPr="001161D2" w:rsidTr="00895393">
        <w:trPr>
          <w:trHeight w:val="145"/>
        </w:trPr>
        <w:tc>
          <w:tcPr>
            <w:tcW w:w="8233" w:type="dxa"/>
            <w:tcBorders>
              <w:bottom w:val="single" w:sz="4" w:space="0" w:color="auto"/>
            </w:tcBorders>
            <w:shd w:val="clear" w:color="auto" w:fill="auto"/>
          </w:tcPr>
          <w:p w:rsidR="000E10AB" w:rsidRPr="001161D2" w:rsidRDefault="000E10AB" w:rsidP="00B07819">
            <w:pPr>
              <w:jc w:val="both"/>
              <w:rPr>
                <w:sz w:val="22"/>
                <w:szCs w:val="22"/>
              </w:rPr>
            </w:pPr>
            <w:r>
              <w:rPr>
                <w:b/>
                <w:sz w:val="22"/>
                <w:u w:val="single"/>
              </w:rPr>
              <w:t>Δεν</w:t>
            </w:r>
            <w:r>
              <w:rPr>
                <w:sz w:val="22"/>
              </w:rPr>
              <w:t xml:space="preserve"> εφαρμόζεται στα καθεστώτα ενισχύσεων που δεν αποκλείουν ρητά την καταβολή μεμονωμένων ενισχύσεων/ad hoc ενισχύσεων που χορηγείται από το κράτος μέλος υπέρ επιχείρησης κατά της οποίας εκκρεμεί διαταγή ανάκτησης, κατόπιν προηγούμενης απόφασης της Επιτροπής, με την οποία μια ενίσχυση κηρύσσεται παράνομη/ασυμβίβαστη </w:t>
            </w:r>
          </w:p>
        </w:tc>
        <w:tc>
          <w:tcPr>
            <w:tcW w:w="6379" w:type="dxa"/>
            <w:vMerge/>
            <w:shd w:val="clear" w:color="auto" w:fill="auto"/>
          </w:tcPr>
          <w:p w:rsidR="000E10AB" w:rsidRPr="001161D2" w:rsidRDefault="000E10AB" w:rsidP="001161D2">
            <w:pPr>
              <w:rPr>
                <w:sz w:val="22"/>
                <w:szCs w:val="22"/>
              </w:rPr>
            </w:pPr>
          </w:p>
        </w:tc>
      </w:tr>
      <w:tr w:rsidR="000E10AB" w:rsidRPr="001161D2" w:rsidTr="00895393">
        <w:trPr>
          <w:trHeight w:val="145"/>
        </w:trPr>
        <w:tc>
          <w:tcPr>
            <w:tcW w:w="8233" w:type="dxa"/>
            <w:shd w:val="clear" w:color="auto" w:fill="D9D9D9"/>
          </w:tcPr>
          <w:p w:rsidR="000E10AB" w:rsidRPr="001161D2" w:rsidRDefault="000E10AB" w:rsidP="00AE3359">
            <w:pPr>
              <w:rPr>
                <w:b/>
                <w:sz w:val="22"/>
                <w:szCs w:val="22"/>
              </w:rPr>
            </w:pPr>
            <w:r>
              <w:rPr>
                <w:b/>
                <w:sz w:val="22"/>
              </w:rPr>
              <w:t>Άρθρο 1 — Αποκλεισμός των προβληματικών επιχειρήσεων (παράγραφος 4)</w:t>
            </w:r>
          </w:p>
        </w:tc>
        <w:tc>
          <w:tcPr>
            <w:tcW w:w="6379" w:type="dxa"/>
            <w:vMerge w:val="restart"/>
            <w:shd w:val="clear" w:color="auto" w:fill="auto"/>
          </w:tcPr>
          <w:p w:rsidR="000E10AB" w:rsidRPr="001161D2" w:rsidRDefault="000E10AB" w:rsidP="006C6F59">
            <w:pPr>
              <w:rPr>
                <w:sz w:val="22"/>
                <w:szCs w:val="22"/>
              </w:rPr>
            </w:pPr>
          </w:p>
        </w:tc>
      </w:tr>
      <w:tr w:rsidR="000E10AB" w:rsidRPr="001161D2" w:rsidTr="001161D2">
        <w:trPr>
          <w:trHeight w:val="486"/>
        </w:trPr>
        <w:tc>
          <w:tcPr>
            <w:tcW w:w="8233" w:type="dxa"/>
            <w:tcBorders>
              <w:bottom w:val="single" w:sz="4" w:space="0" w:color="auto"/>
            </w:tcBorders>
            <w:shd w:val="clear" w:color="auto" w:fill="auto"/>
          </w:tcPr>
          <w:p w:rsidR="000E10AB" w:rsidRPr="001161D2" w:rsidRDefault="000E10AB" w:rsidP="006618E9">
            <w:pPr>
              <w:jc w:val="both"/>
              <w:rPr>
                <w:sz w:val="22"/>
                <w:szCs w:val="22"/>
              </w:rPr>
            </w:pPr>
            <w:r>
              <w:rPr>
                <w:b/>
                <w:sz w:val="22"/>
                <w:u w:val="single"/>
              </w:rPr>
              <w:lastRenderedPageBreak/>
              <w:t>Δεν</w:t>
            </w:r>
            <w:r>
              <w:rPr>
                <w:sz w:val="22"/>
              </w:rPr>
              <w:t xml:space="preserve"> εφαρμόζεται στις ενισχύσεις για προβληματικές επιχειρήσεις </w:t>
            </w:r>
          </w:p>
        </w:tc>
        <w:tc>
          <w:tcPr>
            <w:tcW w:w="6379" w:type="dxa"/>
            <w:vMerge/>
            <w:shd w:val="clear" w:color="auto" w:fill="auto"/>
          </w:tcPr>
          <w:p w:rsidR="000E10AB" w:rsidRPr="001161D2" w:rsidRDefault="000E10AB" w:rsidP="001161D2">
            <w:pPr>
              <w:rPr>
                <w:sz w:val="22"/>
                <w:szCs w:val="22"/>
              </w:rPr>
            </w:pPr>
          </w:p>
        </w:tc>
      </w:tr>
      <w:tr w:rsidR="000E10AB" w:rsidRPr="001161D2" w:rsidTr="00895393">
        <w:trPr>
          <w:trHeight w:val="145"/>
        </w:trPr>
        <w:tc>
          <w:tcPr>
            <w:tcW w:w="8233" w:type="dxa"/>
            <w:shd w:val="clear" w:color="auto" w:fill="D9D9D9"/>
          </w:tcPr>
          <w:p w:rsidR="000E10AB" w:rsidRPr="001161D2" w:rsidRDefault="000E10AB" w:rsidP="00AE3359">
            <w:pPr>
              <w:jc w:val="both"/>
              <w:rPr>
                <w:b/>
                <w:sz w:val="22"/>
                <w:szCs w:val="22"/>
              </w:rPr>
            </w:pPr>
            <w:r>
              <w:rPr>
                <w:b/>
                <w:sz w:val="22"/>
              </w:rPr>
              <w:t>Άρθρο 1 — Αποκλεισμός των μέτρων ενισχύσεων που παραβιάζουν το δίκαιο της Ένωσης (παράγραφος 5)</w:t>
            </w:r>
          </w:p>
        </w:tc>
        <w:tc>
          <w:tcPr>
            <w:tcW w:w="6379" w:type="dxa"/>
            <w:vMerge w:val="restart"/>
            <w:shd w:val="clear" w:color="auto" w:fill="auto"/>
          </w:tcPr>
          <w:p w:rsidR="000E10AB" w:rsidRPr="001161D2" w:rsidRDefault="000E10AB" w:rsidP="006C6F59">
            <w:pPr>
              <w:rPr>
                <w:sz w:val="22"/>
                <w:szCs w:val="22"/>
              </w:rPr>
            </w:pPr>
          </w:p>
        </w:tc>
      </w:tr>
      <w:tr w:rsidR="000E10AB" w:rsidRPr="001161D2" w:rsidTr="00895393">
        <w:trPr>
          <w:trHeight w:val="145"/>
        </w:trPr>
        <w:tc>
          <w:tcPr>
            <w:tcW w:w="8233" w:type="dxa"/>
            <w:tcBorders>
              <w:bottom w:val="single" w:sz="4" w:space="0" w:color="auto"/>
            </w:tcBorders>
            <w:shd w:val="clear" w:color="auto" w:fill="auto"/>
          </w:tcPr>
          <w:p w:rsidR="000E10AB" w:rsidRPr="001161D2" w:rsidRDefault="008C6BDA" w:rsidP="001161D2">
            <w:pPr>
              <w:autoSpaceDE w:val="0"/>
              <w:autoSpaceDN w:val="0"/>
              <w:adjustRightInd w:val="0"/>
              <w:rPr>
                <w:rFonts w:ascii="EUAlbertina-Regu" w:hAnsi="EUAlbertina-Regu" w:cs="EUAlbertina-Regu"/>
                <w:sz w:val="22"/>
                <w:szCs w:val="22"/>
              </w:rPr>
            </w:pPr>
            <w:r>
              <w:rPr>
                <w:b/>
                <w:sz w:val="22"/>
              </w:rPr>
              <w:t>Δεν</w:t>
            </w:r>
            <w:r>
              <w:rPr>
                <w:sz w:val="22"/>
              </w:rPr>
              <w:t xml:space="preserve"> εφαρμόζεται στα μέτρα κρατικών ενισχύσεων που συνιστούν παραβίαση του δικαίου της Ένωσης που τα καθιστά παράνομα στο σύνολό τους, και συνεπάγονται ιδίως:</w:t>
            </w:r>
          </w:p>
          <w:p w:rsidR="000E10AB" w:rsidRPr="001161D2" w:rsidRDefault="000E10AB" w:rsidP="001161D2">
            <w:pPr>
              <w:autoSpaceDE w:val="0"/>
              <w:autoSpaceDN w:val="0"/>
              <w:adjustRightInd w:val="0"/>
              <w:jc w:val="both"/>
              <w:rPr>
                <w:sz w:val="22"/>
                <w:szCs w:val="22"/>
              </w:rPr>
            </w:pPr>
            <w:r>
              <w:t>α) την υποχρέωση του δικαιούχου να διατηρεί στο αντίστοιχο κράτος μέλος είτε την έδρα του είτε την κύρια εγκατάστασή του.</w:t>
            </w:r>
            <w:r>
              <w:rPr>
                <w:sz w:val="22"/>
              </w:rPr>
              <w:t xml:space="preserve"> Είναι αποδεκτή η υποχρέωση του δικαιούχου να έχει, κατά τη χρονική στιγμή καταβολής της ενίσχυσης, εγκατάσταση ή υποκατάστημα στο κράτος μέλος που χορηγεί την ενίσχυση·</w:t>
            </w:r>
          </w:p>
          <w:p w:rsidR="000E10AB" w:rsidRPr="001161D2" w:rsidRDefault="000E10AB" w:rsidP="001161D2">
            <w:pPr>
              <w:autoSpaceDE w:val="0"/>
              <w:autoSpaceDN w:val="0"/>
              <w:adjustRightInd w:val="0"/>
              <w:jc w:val="both"/>
              <w:rPr>
                <w:sz w:val="22"/>
                <w:szCs w:val="22"/>
              </w:rPr>
            </w:pPr>
            <w:r>
              <w:rPr>
                <w:sz w:val="22"/>
              </w:rPr>
              <w:t>β) την υποχρέωση του δικαιούχου να χρησιμοποιεί προϊόντα εγχώριας παραγωγής ή εθνικές υπηρεσίες·</w:t>
            </w:r>
          </w:p>
          <w:p w:rsidR="000E10AB" w:rsidRPr="001161D2" w:rsidRDefault="000E10AB" w:rsidP="001161D2">
            <w:pPr>
              <w:autoSpaceDE w:val="0"/>
              <w:autoSpaceDN w:val="0"/>
              <w:adjustRightInd w:val="0"/>
              <w:jc w:val="both"/>
              <w:rPr>
                <w:sz w:val="22"/>
                <w:szCs w:val="22"/>
              </w:rPr>
            </w:pPr>
            <w:r>
              <w:rPr>
                <w:sz w:val="22"/>
              </w:rPr>
              <w:t>γ) τον περιορισμό της δυνατότητας των δικαιούχων να κάνουν χρήση των αποτελεσμάτων της έρευνας, ανάπτυξης και καινοτομίας σε άλλα κράτη μέλη.</w:t>
            </w:r>
          </w:p>
        </w:tc>
        <w:tc>
          <w:tcPr>
            <w:tcW w:w="6379" w:type="dxa"/>
            <w:vMerge/>
            <w:shd w:val="clear" w:color="auto" w:fill="auto"/>
          </w:tcPr>
          <w:p w:rsidR="000E10AB" w:rsidRPr="001161D2" w:rsidRDefault="000E10AB" w:rsidP="001161D2">
            <w:pPr>
              <w:rPr>
                <w:sz w:val="22"/>
                <w:szCs w:val="22"/>
              </w:rPr>
            </w:pPr>
          </w:p>
        </w:tc>
      </w:tr>
      <w:tr w:rsidR="000E10AB" w:rsidRPr="001161D2" w:rsidTr="006D79B1">
        <w:trPr>
          <w:trHeight w:val="271"/>
        </w:trPr>
        <w:tc>
          <w:tcPr>
            <w:tcW w:w="8233" w:type="dxa"/>
            <w:shd w:val="clear" w:color="auto" w:fill="D9D9D9"/>
          </w:tcPr>
          <w:p w:rsidR="000E10AB" w:rsidRPr="001161D2" w:rsidRDefault="000E10AB" w:rsidP="00AE3359">
            <w:pPr>
              <w:jc w:val="both"/>
              <w:rPr>
                <w:b/>
                <w:sz w:val="22"/>
                <w:szCs w:val="22"/>
              </w:rPr>
            </w:pPr>
            <w:r>
              <w:rPr>
                <w:b/>
                <w:sz w:val="22"/>
              </w:rPr>
              <w:t>Άρθρο 4 — Όρια κοινοποίησης μεμονωμένων ενισχύσεων</w:t>
            </w:r>
          </w:p>
        </w:tc>
        <w:tc>
          <w:tcPr>
            <w:tcW w:w="6379" w:type="dxa"/>
            <w:shd w:val="clear" w:color="auto" w:fill="D9D9D9"/>
          </w:tcPr>
          <w:p w:rsidR="000E10AB" w:rsidRPr="001161D2" w:rsidRDefault="000E10AB" w:rsidP="00AE3359">
            <w:pPr>
              <w:rPr>
                <w:sz w:val="22"/>
                <w:szCs w:val="22"/>
              </w:rPr>
            </w:pPr>
          </w:p>
        </w:tc>
      </w:tr>
      <w:tr w:rsidR="000E10AB" w:rsidRPr="001161D2" w:rsidTr="00895393">
        <w:trPr>
          <w:trHeight w:val="271"/>
        </w:trPr>
        <w:tc>
          <w:tcPr>
            <w:tcW w:w="8233" w:type="dxa"/>
            <w:tcBorders>
              <w:bottom w:val="single" w:sz="4" w:space="0" w:color="auto"/>
            </w:tcBorders>
            <w:shd w:val="clear" w:color="auto" w:fill="auto"/>
          </w:tcPr>
          <w:p w:rsidR="000E10AB" w:rsidRPr="001161D2" w:rsidRDefault="000E10AB" w:rsidP="00AE3359">
            <w:pPr>
              <w:rPr>
                <w:sz w:val="22"/>
                <w:szCs w:val="22"/>
              </w:rPr>
            </w:pPr>
            <w:r>
              <w:rPr>
                <w:b/>
                <w:sz w:val="22"/>
              </w:rPr>
              <w:t>Δεν</w:t>
            </w:r>
            <w:r>
              <w:rPr>
                <w:sz w:val="22"/>
              </w:rPr>
              <w:t xml:space="preserve"> εφαρμόζεται στις ενισχύσεις που υπερβαίνουν:</w:t>
            </w:r>
          </w:p>
          <w:p w:rsidR="00AB5424" w:rsidRDefault="00AB5424" w:rsidP="006C6F59">
            <w:pPr>
              <w:numPr>
                <w:ilvl w:val="0"/>
                <w:numId w:val="7"/>
              </w:numPr>
              <w:autoSpaceDE w:val="0"/>
              <w:autoSpaceDN w:val="0"/>
              <w:adjustRightInd w:val="0"/>
              <w:jc w:val="both"/>
              <w:rPr>
                <w:sz w:val="22"/>
                <w:szCs w:val="22"/>
              </w:rPr>
            </w:pPr>
            <w:r>
              <w:rPr>
                <w:sz w:val="22"/>
              </w:rPr>
              <w:t>για τις επενδυτικές ενισχύσεις για τον πολιτισμό και τη διατήρηση της κληρονομιάς: 150 εκατ. EUR ανά έργο· ενισχύσεις λειτουργίας για τον πολιτισμό και τη διατήρηση της κληρονομιάς: 75 εκατ. EUR ανά επιχείρηση ετησίως·</w:t>
            </w:r>
          </w:p>
          <w:p w:rsidR="000E10AB" w:rsidRPr="001161D2" w:rsidRDefault="008C6BDA" w:rsidP="006C6F59">
            <w:pPr>
              <w:numPr>
                <w:ilvl w:val="0"/>
                <w:numId w:val="7"/>
              </w:numPr>
              <w:autoSpaceDE w:val="0"/>
              <w:autoSpaceDN w:val="0"/>
              <w:adjustRightInd w:val="0"/>
              <w:jc w:val="both"/>
              <w:rPr>
                <w:sz w:val="22"/>
                <w:szCs w:val="22"/>
              </w:rPr>
            </w:pPr>
            <w:r>
              <w:rPr>
                <w:sz w:val="22"/>
              </w:rPr>
              <w:t>για τα καθεστώτα ενισχύσεων για οπτικοακουστικά έργα: 50 εκατ. EUR ανά καθεστώς ετησίως.</w:t>
            </w:r>
          </w:p>
          <w:p w:rsidR="00AA1EC8" w:rsidRPr="001161D2" w:rsidRDefault="00AA1EC8" w:rsidP="001161D2">
            <w:pPr>
              <w:autoSpaceDE w:val="0"/>
              <w:autoSpaceDN w:val="0"/>
              <w:adjustRightInd w:val="0"/>
              <w:jc w:val="both"/>
              <w:rPr>
                <w:sz w:val="22"/>
                <w:szCs w:val="22"/>
              </w:rPr>
            </w:pPr>
            <w:r>
              <w:rPr>
                <w:sz w:val="22"/>
              </w:rPr>
              <w:t xml:space="preserve">Τα όρια </w:t>
            </w:r>
            <w:r>
              <w:rPr>
                <w:b/>
                <w:sz w:val="22"/>
              </w:rPr>
              <w:t>δεν</w:t>
            </w:r>
            <w:r>
              <w:rPr>
                <w:sz w:val="22"/>
              </w:rPr>
              <w:t xml:space="preserve"> επιτρέπεται να καταστρατηγούνται με τον τεχνητό διαχωρισμό των καθεστώτων ενισχύσεων ή των έργων ενίσχυσης.</w:t>
            </w:r>
          </w:p>
        </w:tc>
        <w:tc>
          <w:tcPr>
            <w:tcW w:w="6379" w:type="dxa"/>
            <w:shd w:val="clear" w:color="auto" w:fill="auto"/>
          </w:tcPr>
          <w:p w:rsidR="000E10AB" w:rsidRPr="001161D2" w:rsidRDefault="000E10AB" w:rsidP="001161D2">
            <w:pPr>
              <w:rPr>
                <w:sz w:val="22"/>
                <w:szCs w:val="22"/>
              </w:rPr>
            </w:pPr>
          </w:p>
        </w:tc>
      </w:tr>
      <w:tr w:rsidR="000E10AB" w:rsidRPr="001161D2" w:rsidTr="006D79B1">
        <w:trPr>
          <w:trHeight w:val="344"/>
        </w:trPr>
        <w:tc>
          <w:tcPr>
            <w:tcW w:w="8233" w:type="dxa"/>
            <w:shd w:val="clear" w:color="auto" w:fill="D9D9D9"/>
          </w:tcPr>
          <w:p w:rsidR="000E10AB" w:rsidRPr="001161D2" w:rsidRDefault="000E10AB" w:rsidP="00AE3359">
            <w:pPr>
              <w:jc w:val="both"/>
              <w:rPr>
                <w:b/>
                <w:sz w:val="22"/>
                <w:szCs w:val="22"/>
              </w:rPr>
            </w:pPr>
            <w:r>
              <w:rPr>
                <w:b/>
                <w:sz w:val="22"/>
              </w:rPr>
              <w:t xml:space="preserve">Άρθρο 5 — Διαφάνεια των ενισχύσεων </w:t>
            </w:r>
          </w:p>
        </w:tc>
        <w:tc>
          <w:tcPr>
            <w:tcW w:w="6379" w:type="dxa"/>
            <w:shd w:val="clear" w:color="auto" w:fill="D9D9D9"/>
          </w:tcPr>
          <w:p w:rsidR="000E10AB" w:rsidRPr="001161D2" w:rsidRDefault="000E10AB" w:rsidP="00AE3359">
            <w:pPr>
              <w:rPr>
                <w:sz w:val="22"/>
                <w:szCs w:val="22"/>
              </w:rPr>
            </w:pPr>
          </w:p>
        </w:tc>
      </w:tr>
      <w:tr w:rsidR="000E10AB" w:rsidRPr="001161D2" w:rsidTr="00895393">
        <w:trPr>
          <w:trHeight w:val="344"/>
        </w:trPr>
        <w:tc>
          <w:tcPr>
            <w:tcW w:w="8233" w:type="dxa"/>
            <w:shd w:val="clear" w:color="auto" w:fill="auto"/>
          </w:tcPr>
          <w:p w:rsidR="000E10AB" w:rsidRPr="001161D2" w:rsidRDefault="000E10AB" w:rsidP="00AE3359">
            <w:pPr>
              <w:jc w:val="both"/>
              <w:rPr>
                <w:sz w:val="22"/>
                <w:szCs w:val="22"/>
              </w:rPr>
            </w:pPr>
            <w:r>
              <w:rPr>
                <w:sz w:val="22"/>
              </w:rPr>
              <w:t>Εφαρμόζεται μόνο στις διαφανείς ενισχύσεις· ως τέτοιες λογίζονται:</w:t>
            </w:r>
          </w:p>
          <w:p w:rsidR="000E10AB" w:rsidRPr="001161D2" w:rsidRDefault="000E10AB" w:rsidP="006C6F59">
            <w:pPr>
              <w:numPr>
                <w:ilvl w:val="0"/>
                <w:numId w:val="5"/>
              </w:numPr>
              <w:tabs>
                <w:tab w:val="clear" w:pos="720"/>
                <w:tab w:val="num" w:pos="328"/>
              </w:tabs>
              <w:ind w:left="328" w:hanging="283"/>
              <w:jc w:val="both"/>
              <w:rPr>
                <w:sz w:val="22"/>
                <w:szCs w:val="22"/>
              </w:rPr>
            </w:pPr>
            <w:r>
              <w:rPr>
                <w:sz w:val="22"/>
              </w:rPr>
              <w:t>οι επιχορηγήσεις και επιδοτήσεις επιτοκίου</w:t>
            </w:r>
          </w:p>
          <w:p w:rsidR="000E10AB" w:rsidRPr="001161D2" w:rsidRDefault="000E10AB" w:rsidP="006C6F59">
            <w:pPr>
              <w:numPr>
                <w:ilvl w:val="0"/>
                <w:numId w:val="3"/>
              </w:numPr>
              <w:tabs>
                <w:tab w:val="clear" w:pos="720"/>
                <w:tab w:val="num" w:pos="328"/>
              </w:tabs>
              <w:ind w:left="328" w:hanging="283"/>
              <w:jc w:val="both"/>
              <w:rPr>
                <w:sz w:val="22"/>
                <w:szCs w:val="22"/>
              </w:rPr>
            </w:pPr>
            <w:r>
              <w:rPr>
                <w:sz w:val="22"/>
              </w:rPr>
              <w:t>τα δάνεια (όταν το ακαθάριστο ισοδύναμο επιχορήγησης έχει υπολογιστεί βάσει του επιτοκίου αναφοράς που ίσχυε στην αγορά τη στιγμή της χορήγησης)</w:t>
            </w:r>
          </w:p>
          <w:p w:rsidR="000E10AB" w:rsidRPr="001161D2" w:rsidRDefault="000E10AB" w:rsidP="001161D2">
            <w:pPr>
              <w:numPr>
                <w:ilvl w:val="0"/>
                <w:numId w:val="3"/>
              </w:numPr>
              <w:tabs>
                <w:tab w:val="clear" w:pos="720"/>
                <w:tab w:val="num" w:pos="328"/>
              </w:tabs>
              <w:ind w:left="328" w:hanging="283"/>
              <w:jc w:val="both"/>
              <w:rPr>
                <w:sz w:val="22"/>
                <w:szCs w:val="22"/>
              </w:rPr>
            </w:pPr>
            <w:r>
              <w:rPr>
                <w:sz w:val="22"/>
              </w:rPr>
              <w:t xml:space="preserve">Εγγυήσεις </w:t>
            </w:r>
          </w:p>
          <w:p w:rsidR="000E10AB" w:rsidRPr="001161D2" w:rsidRDefault="000E10AB" w:rsidP="001161D2">
            <w:pPr>
              <w:tabs>
                <w:tab w:val="num" w:pos="470"/>
              </w:tabs>
              <w:ind w:left="328"/>
              <w:jc w:val="both"/>
              <w:rPr>
                <w:sz w:val="22"/>
                <w:szCs w:val="22"/>
              </w:rPr>
            </w:pPr>
            <w:r>
              <w:rPr>
                <w:sz w:val="22"/>
              </w:rPr>
              <w:t xml:space="preserve">(όταν το ακαθάριστο ισοδύναμο επιχορήγησης έχει υπολογιστεί με βάση τις προμήθειες ασφαλούς λιμένα που καθορίζονται σε ανακοίνωση της Επιτροπής </w:t>
            </w:r>
          </w:p>
          <w:p w:rsidR="000E10AB" w:rsidRPr="001161D2" w:rsidRDefault="000E10AB" w:rsidP="001161D2">
            <w:pPr>
              <w:tabs>
                <w:tab w:val="num" w:pos="328"/>
              </w:tabs>
              <w:ind w:left="328" w:hanging="283"/>
              <w:jc w:val="both"/>
              <w:rPr>
                <w:sz w:val="22"/>
                <w:szCs w:val="22"/>
              </w:rPr>
            </w:pPr>
            <w:r>
              <w:rPr>
                <w:sz w:val="22"/>
              </w:rPr>
              <w:t xml:space="preserve">ή </w:t>
            </w:r>
          </w:p>
          <w:p w:rsidR="000E10AB" w:rsidRPr="001161D2" w:rsidRDefault="000E10AB" w:rsidP="001161D2">
            <w:pPr>
              <w:tabs>
                <w:tab w:val="num" w:pos="328"/>
              </w:tabs>
              <w:ind w:left="328"/>
              <w:jc w:val="both"/>
              <w:rPr>
                <w:sz w:val="22"/>
                <w:szCs w:val="22"/>
              </w:rPr>
            </w:pPr>
            <w:r>
              <w:rPr>
                <w:sz w:val="22"/>
              </w:rPr>
              <w:t xml:space="preserve">όταν το ακαθάριστο ισοδύναμο επιχορήγησης έχει γίνει δεκτό πριν από την εφαρμογή του μέτρου, με βάση την ανακοίνωση της Επιτροπής σχετικά με τις εγγυήσεις, και εφόσον η εγκεκριμένη μεθοδολογία υπολογισμού αναφέρει ρητά το είδος της εγγύησης και το είδος των υποκείμενων πράξεων στο πλαίσιο της εφαρμογής του </w:t>
            </w:r>
            <w:r>
              <w:rPr>
                <w:sz w:val="22"/>
              </w:rPr>
              <w:lastRenderedPageBreak/>
              <w:t>ΓΚΑΚ)</w:t>
            </w:r>
          </w:p>
          <w:p w:rsidR="000E10AB" w:rsidRPr="001161D2" w:rsidRDefault="000E10AB" w:rsidP="001161D2">
            <w:pPr>
              <w:numPr>
                <w:ilvl w:val="0"/>
                <w:numId w:val="3"/>
              </w:numPr>
              <w:tabs>
                <w:tab w:val="clear" w:pos="720"/>
                <w:tab w:val="num" w:pos="328"/>
              </w:tabs>
              <w:ind w:left="328" w:hanging="283"/>
              <w:jc w:val="both"/>
              <w:rPr>
                <w:sz w:val="22"/>
                <w:szCs w:val="22"/>
              </w:rPr>
            </w:pPr>
            <w:r>
              <w:rPr>
                <w:sz w:val="22"/>
              </w:rPr>
              <w:t>τα φορολογικά πλεονεκτήματα (όταν προβλέπεται ανώτατο όριο με το οποίο διασφαλίζεται ότι δεν γίνεται υπέρβαση του ορίου)</w:t>
            </w:r>
          </w:p>
          <w:p w:rsidR="00AB5424" w:rsidRDefault="00AB5424" w:rsidP="00AB5424">
            <w:pPr>
              <w:numPr>
                <w:ilvl w:val="0"/>
                <w:numId w:val="3"/>
              </w:numPr>
              <w:tabs>
                <w:tab w:val="clear" w:pos="720"/>
                <w:tab w:val="num" w:pos="328"/>
              </w:tabs>
              <w:autoSpaceDE w:val="0"/>
              <w:autoSpaceDN w:val="0"/>
              <w:adjustRightInd w:val="0"/>
              <w:ind w:left="328" w:hanging="283"/>
              <w:jc w:val="both"/>
              <w:rPr>
                <w:sz w:val="22"/>
                <w:szCs w:val="22"/>
              </w:rPr>
            </w:pPr>
            <w:r>
              <w:rPr>
                <w:sz w:val="22"/>
              </w:rPr>
              <w:t>οι ενισχύσεις υπό μορφή επιστρεπτέων προκαταβολών, εφόσον το συνολικό ονομαστικό ποσό της επιστρεπτέας προκαταβολής δεν υπερβαίνει τα ισχύοντα όρια βάσει του παρόντος κανονισμού ή εφόσον, πριν από την εφαρμογή του μέτρου, η μέθοδος υπολογισμού του ακαθάριστου ισοδύναμου επιχορήγησης της επιστρεπτέας προκαταβολής έγινε δεκτή μετά την κοινοποίησή της στην Επιτ ροπή.</w:t>
            </w:r>
          </w:p>
          <w:p w:rsidR="000E10AB" w:rsidRPr="00E93688" w:rsidRDefault="00AB5424" w:rsidP="00E93688">
            <w:pPr>
              <w:numPr>
                <w:ilvl w:val="0"/>
                <w:numId w:val="3"/>
              </w:numPr>
              <w:tabs>
                <w:tab w:val="clear" w:pos="720"/>
                <w:tab w:val="num" w:pos="328"/>
              </w:tabs>
              <w:autoSpaceDE w:val="0"/>
              <w:autoSpaceDN w:val="0"/>
              <w:adjustRightInd w:val="0"/>
              <w:ind w:left="328" w:hanging="283"/>
              <w:jc w:val="both"/>
              <w:rPr>
                <w:sz w:val="22"/>
                <w:szCs w:val="22"/>
              </w:rPr>
            </w:pPr>
            <w:r>
              <w:rPr>
                <w:sz w:val="22"/>
              </w:rPr>
              <w:t>Οι ενισχύσεις υπό μορφή πώλησης ή μίσθωσης ενσώματων στοιχείων ενεργητικού κάτω της τιμής της αγοράς εάν η αξία καθορίζεται είτε με αξιολόγηση ανεξάρτητου εμπειρογνώμονα πριν από τη συναλλαγή είτε με παραπομπή σε δημοσιοποιημένο, τακτικά επικαιροποιημένο και γενικά αποδεκτό δείκτη αναφοράς.</w:t>
            </w:r>
          </w:p>
        </w:tc>
        <w:tc>
          <w:tcPr>
            <w:tcW w:w="6379" w:type="dxa"/>
            <w:shd w:val="clear" w:color="auto" w:fill="auto"/>
          </w:tcPr>
          <w:p w:rsidR="000E10AB" w:rsidRPr="001161D2" w:rsidRDefault="000E10AB" w:rsidP="001161D2">
            <w:pPr>
              <w:rPr>
                <w:sz w:val="22"/>
                <w:szCs w:val="22"/>
              </w:rPr>
            </w:pPr>
          </w:p>
        </w:tc>
      </w:tr>
      <w:tr w:rsidR="001A7FDD" w:rsidRPr="001161D2" w:rsidTr="006D79B1">
        <w:trPr>
          <w:trHeight w:val="344"/>
        </w:trPr>
        <w:tc>
          <w:tcPr>
            <w:tcW w:w="8233" w:type="dxa"/>
            <w:shd w:val="clear" w:color="auto" w:fill="D9D9D9"/>
          </w:tcPr>
          <w:p w:rsidR="001A7FDD" w:rsidRPr="001161D2" w:rsidRDefault="001A7FDD" w:rsidP="00AE3359">
            <w:pPr>
              <w:jc w:val="both"/>
              <w:rPr>
                <w:b/>
                <w:sz w:val="22"/>
                <w:szCs w:val="22"/>
              </w:rPr>
            </w:pPr>
            <w:r>
              <w:rPr>
                <w:b/>
                <w:sz w:val="22"/>
              </w:rPr>
              <w:lastRenderedPageBreak/>
              <w:t>Άρθρο 6 — Χαρακτήρας κινήτρου</w:t>
            </w:r>
          </w:p>
        </w:tc>
        <w:tc>
          <w:tcPr>
            <w:tcW w:w="6379" w:type="dxa"/>
            <w:shd w:val="clear" w:color="auto" w:fill="D9D9D9"/>
          </w:tcPr>
          <w:p w:rsidR="001A7FDD" w:rsidRPr="001161D2" w:rsidRDefault="001A7FDD" w:rsidP="00AE3359">
            <w:pPr>
              <w:rPr>
                <w:sz w:val="22"/>
                <w:szCs w:val="22"/>
              </w:rPr>
            </w:pPr>
          </w:p>
        </w:tc>
      </w:tr>
      <w:tr w:rsidR="001A7FDD" w:rsidRPr="001161D2" w:rsidTr="00E93688">
        <w:trPr>
          <w:trHeight w:val="344"/>
        </w:trPr>
        <w:tc>
          <w:tcPr>
            <w:tcW w:w="8233" w:type="dxa"/>
            <w:shd w:val="clear" w:color="auto" w:fill="auto"/>
          </w:tcPr>
          <w:p w:rsidR="001A7FDD" w:rsidRPr="00ED6412" w:rsidRDefault="001A7FDD" w:rsidP="001A7FDD">
            <w:pPr>
              <w:rPr>
                <w:sz w:val="22"/>
                <w:szCs w:val="22"/>
              </w:rPr>
            </w:pPr>
            <w:r>
              <w:rPr>
                <w:sz w:val="22"/>
              </w:rPr>
              <w:t>Οι ενισχύσεις μπορούν να τύχουν απαλλαγής μόνον εάν έχουν χαρακτήρα κινήτρου:</w:t>
            </w:r>
          </w:p>
          <w:p w:rsidR="001A7FDD" w:rsidRPr="00ED6412" w:rsidRDefault="001A7FDD" w:rsidP="001A7FDD">
            <w:pPr>
              <w:numPr>
                <w:ilvl w:val="0"/>
                <w:numId w:val="4"/>
              </w:numPr>
              <w:rPr>
                <w:sz w:val="22"/>
                <w:szCs w:val="22"/>
              </w:rPr>
            </w:pPr>
            <w:r>
              <w:rPr>
                <w:sz w:val="22"/>
              </w:rPr>
              <w:t xml:space="preserve">Ο δικαιούχος έχει υποβάλει </w:t>
            </w:r>
            <w:r>
              <w:rPr>
                <w:b/>
                <w:sz w:val="22"/>
              </w:rPr>
              <w:t>αίτηση</w:t>
            </w:r>
            <w:r>
              <w:rPr>
                <w:sz w:val="22"/>
              </w:rPr>
              <w:t xml:space="preserve"> ενίσχυσης στο κράτος μέλος, πριν από την έναρξη των εργασιών ή του έργου, που περιλαμβάνει τουλάχιστον τα ακόλουθα στοιχεία:</w:t>
            </w:r>
          </w:p>
          <w:p w:rsidR="001A7FDD" w:rsidRPr="00ED6412" w:rsidRDefault="001A7FDD" w:rsidP="00FC2121">
            <w:pPr>
              <w:numPr>
                <w:ilvl w:val="0"/>
                <w:numId w:val="29"/>
              </w:numPr>
              <w:autoSpaceDE w:val="0"/>
              <w:autoSpaceDN w:val="0"/>
              <w:adjustRightInd w:val="0"/>
              <w:rPr>
                <w:sz w:val="22"/>
                <w:szCs w:val="22"/>
              </w:rPr>
            </w:pPr>
            <w:r>
              <w:rPr>
                <w:sz w:val="22"/>
              </w:rPr>
              <w:t>την ονομασία και το μέγεθος της επιχείρησης·</w:t>
            </w:r>
          </w:p>
          <w:p w:rsidR="001A7FDD" w:rsidRPr="00ED6412" w:rsidRDefault="001A7FDD" w:rsidP="00FC2121">
            <w:pPr>
              <w:numPr>
                <w:ilvl w:val="0"/>
                <w:numId w:val="29"/>
              </w:numPr>
              <w:autoSpaceDE w:val="0"/>
              <w:autoSpaceDN w:val="0"/>
              <w:adjustRightInd w:val="0"/>
              <w:rPr>
                <w:sz w:val="22"/>
                <w:szCs w:val="22"/>
              </w:rPr>
            </w:pPr>
            <w:r>
              <w:rPr>
                <w:sz w:val="22"/>
              </w:rPr>
              <w:t>την περιγραφή του έργου, συμπεριλαμβανομένων των ημερομηνιών έναρξης και λήξης,</w:t>
            </w:r>
          </w:p>
          <w:p w:rsidR="001A7FDD" w:rsidRPr="00ED6412" w:rsidRDefault="001A7FDD" w:rsidP="00FC2121">
            <w:pPr>
              <w:numPr>
                <w:ilvl w:val="0"/>
                <w:numId w:val="29"/>
              </w:numPr>
              <w:autoSpaceDE w:val="0"/>
              <w:autoSpaceDN w:val="0"/>
              <w:adjustRightInd w:val="0"/>
              <w:rPr>
                <w:sz w:val="22"/>
                <w:szCs w:val="22"/>
              </w:rPr>
            </w:pPr>
            <w:r>
              <w:rPr>
                <w:sz w:val="22"/>
              </w:rPr>
              <w:t>τον τόπο εκτέλεσης του έργου·</w:t>
            </w:r>
          </w:p>
          <w:p w:rsidR="001A7FDD" w:rsidRPr="00ED6412" w:rsidRDefault="001A7FDD" w:rsidP="00FC2121">
            <w:pPr>
              <w:numPr>
                <w:ilvl w:val="0"/>
                <w:numId w:val="29"/>
              </w:numPr>
              <w:autoSpaceDE w:val="0"/>
              <w:autoSpaceDN w:val="0"/>
              <w:adjustRightInd w:val="0"/>
              <w:rPr>
                <w:sz w:val="22"/>
                <w:szCs w:val="22"/>
              </w:rPr>
            </w:pPr>
            <w:r>
              <w:rPr>
                <w:sz w:val="22"/>
              </w:rPr>
              <w:t>κατάλογο των δαπανών του έργου·</w:t>
            </w:r>
          </w:p>
          <w:p w:rsidR="001A7FDD" w:rsidRPr="00ED6412" w:rsidRDefault="001A7FDD" w:rsidP="00FC2121">
            <w:pPr>
              <w:numPr>
                <w:ilvl w:val="0"/>
                <w:numId w:val="29"/>
              </w:numPr>
              <w:autoSpaceDE w:val="0"/>
              <w:autoSpaceDN w:val="0"/>
              <w:adjustRightInd w:val="0"/>
              <w:jc w:val="both"/>
              <w:rPr>
                <w:sz w:val="22"/>
                <w:szCs w:val="22"/>
              </w:rPr>
            </w:pPr>
            <w:r>
              <w:rPr>
                <w:sz w:val="22"/>
              </w:rPr>
              <w:t>είδος ενίσχυσης (επιχορήγηση, δάνειο, εγγύηση, επιστρεπτέα προκαταβολή, εισφορά κεφαλαίου ή άλλο) και ποσό της δημόσιας χρηματοδότησης που απαιτείται για το έργο</w:t>
            </w:r>
            <w:r w:rsidR="00FC2121">
              <w:rPr>
                <w:sz w:val="22"/>
                <w:lang w:val="en-GB"/>
              </w:rPr>
              <w:t>.</w:t>
            </w:r>
          </w:p>
          <w:p w:rsidR="001A7FDD" w:rsidRPr="00ED6412" w:rsidRDefault="001A7FDD" w:rsidP="001A7FDD">
            <w:pPr>
              <w:numPr>
                <w:ilvl w:val="0"/>
                <w:numId w:val="4"/>
              </w:numPr>
              <w:autoSpaceDE w:val="0"/>
              <w:autoSpaceDN w:val="0"/>
              <w:adjustRightInd w:val="0"/>
              <w:jc w:val="both"/>
              <w:rPr>
                <w:sz w:val="22"/>
                <w:szCs w:val="22"/>
              </w:rPr>
            </w:pPr>
            <w:r>
              <w:rPr>
                <w:b/>
                <w:sz w:val="22"/>
              </w:rPr>
              <w:t>Ad hoc ενισχύσεις σε μεγάλες επιχειρήσεις</w:t>
            </w:r>
            <w:r>
              <w:rPr>
                <w:sz w:val="22"/>
              </w:rPr>
              <w:t>· πέραν των ανωτέρω, το κράτος μέλος έχει ελέγξει, πριν χορηγήσει την ενίσχυση, ότι ο δικαιούχος προσκόμισε έγγραφα που αποδεικνύουν ένα ή περισσότερα από τα ακόλουθα:</w:t>
            </w:r>
          </w:p>
          <w:p w:rsidR="001A7FDD" w:rsidRPr="00ED6412" w:rsidRDefault="001A7FDD" w:rsidP="001A7FDD">
            <w:pPr>
              <w:autoSpaceDE w:val="0"/>
              <w:autoSpaceDN w:val="0"/>
              <w:adjustRightInd w:val="0"/>
              <w:ind w:left="754" w:hanging="426"/>
              <w:jc w:val="both"/>
              <w:rPr>
                <w:sz w:val="22"/>
                <w:szCs w:val="22"/>
              </w:rPr>
            </w:pPr>
            <w:r>
              <w:rPr>
                <w:sz w:val="22"/>
              </w:rPr>
              <w:t>- ουσιώδη αύξηση του αντικειμένου του έργου/της δραστηριότητας ως αποτέλεσμα της ενίσχυσης· ή</w:t>
            </w:r>
          </w:p>
          <w:p w:rsidR="001A7FDD" w:rsidRPr="00ED6412" w:rsidRDefault="001A7FDD" w:rsidP="001A7FDD">
            <w:pPr>
              <w:autoSpaceDE w:val="0"/>
              <w:autoSpaceDN w:val="0"/>
              <w:adjustRightInd w:val="0"/>
              <w:ind w:left="754" w:hanging="426"/>
              <w:jc w:val="both"/>
              <w:rPr>
                <w:sz w:val="22"/>
                <w:szCs w:val="22"/>
              </w:rPr>
            </w:pPr>
            <w:r>
              <w:rPr>
                <w:sz w:val="22"/>
              </w:rPr>
              <w:t>- ουσιώδη αύξηση του συνολικού ποσού που δαπανά ο δικαιούχος για το έργο/τη δραστηριότητα ως αποτέλεσμα της ενίσχυσης· ή</w:t>
            </w:r>
          </w:p>
          <w:p w:rsidR="001A7FDD" w:rsidRPr="00ED6412" w:rsidRDefault="001A7FDD" w:rsidP="001A7FDD">
            <w:pPr>
              <w:autoSpaceDE w:val="0"/>
              <w:autoSpaceDN w:val="0"/>
              <w:adjustRightInd w:val="0"/>
              <w:ind w:left="754" w:hanging="426"/>
              <w:jc w:val="both"/>
              <w:rPr>
                <w:sz w:val="22"/>
                <w:szCs w:val="22"/>
              </w:rPr>
            </w:pPr>
            <w:r>
              <w:rPr>
                <w:sz w:val="22"/>
              </w:rPr>
              <w:t>- ουσιώδη αύξηση της ταχύτητας ολοκλήρωσης του συγκεκριμένου έργου/δραστηριότητας.</w:t>
            </w:r>
          </w:p>
          <w:p w:rsidR="001A7FDD" w:rsidRPr="00ED6412" w:rsidRDefault="001A7FDD" w:rsidP="001A7FDD">
            <w:pPr>
              <w:ind w:left="396"/>
              <w:rPr>
                <w:sz w:val="22"/>
                <w:szCs w:val="22"/>
              </w:rPr>
            </w:pPr>
            <w:r>
              <w:rPr>
                <w:sz w:val="22"/>
                <w:szCs w:val="22"/>
              </w:rPr>
              <w:sym w:font="Wingdings" w:char="F0E0"/>
            </w:r>
            <w:r>
              <w:rPr>
                <w:b/>
                <w:sz w:val="22"/>
              </w:rPr>
              <w:t>Εξαιρέσεις</w:t>
            </w:r>
          </w:p>
          <w:p w:rsidR="001A7FDD" w:rsidRPr="00ED6412" w:rsidRDefault="001A7FDD" w:rsidP="001A7FDD">
            <w:pPr>
              <w:numPr>
                <w:ilvl w:val="0"/>
                <w:numId w:val="4"/>
              </w:numPr>
              <w:rPr>
                <w:sz w:val="22"/>
                <w:szCs w:val="22"/>
              </w:rPr>
            </w:pPr>
            <w:r>
              <w:rPr>
                <w:sz w:val="22"/>
              </w:rPr>
              <w:t>Φορολογικά πλεονεκτήματα εάν:</w:t>
            </w:r>
          </w:p>
          <w:p w:rsidR="001A7FDD" w:rsidRPr="00E93688" w:rsidRDefault="001A7FDD" w:rsidP="00FC2121">
            <w:pPr>
              <w:numPr>
                <w:ilvl w:val="0"/>
                <w:numId w:val="30"/>
              </w:numPr>
              <w:autoSpaceDE w:val="0"/>
              <w:autoSpaceDN w:val="0"/>
              <w:adjustRightInd w:val="0"/>
              <w:jc w:val="both"/>
              <w:rPr>
                <w:b/>
                <w:sz w:val="22"/>
                <w:szCs w:val="22"/>
              </w:rPr>
            </w:pPr>
            <w:r>
              <w:rPr>
                <w:sz w:val="22"/>
              </w:rPr>
              <w:t xml:space="preserve">με το μέτρο παρέχεται δικαίωμα για ενισχύσεις βάσει αντικειμενικών κριτηρίων </w:t>
            </w:r>
            <w:r>
              <w:rPr>
                <w:sz w:val="22"/>
              </w:rPr>
              <w:lastRenderedPageBreak/>
              <w:t xml:space="preserve">και χωρίς περαιτέρω άσκηση διακριτικής ευχέρειας από την πλευρά του κράτους μέλους· και </w:t>
            </w:r>
          </w:p>
          <w:p w:rsidR="001A7FDD" w:rsidRPr="00E93688" w:rsidRDefault="001A7FDD" w:rsidP="00FC2121">
            <w:pPr>
              <w:numPr>
                <w:ilvl w:val="0"/>
                <w:numId w:val="30"/>
              </w:numPr>
              <w:autoSpaceDE w:val="0"/>
              <w:autoSpaceDN w:val="0"/>
              <w:adjustRightInd w:val="0"/>
              <w:jc w:val="both"/>
              <w:rPr>
                <w:b/>
                <w:sz w:val="22"/>
                <w:szCs w:val="22"/>
              </w:rPr>
            </w:pPr>
            <w:r>
              <w:rPr>
                <w:sz w:val="22"/>
              </w:rPr>
              <w:t>το μέτρο εγκρίθηκε και τέθηκε σε ισχύ προτού αρχίσουν οι εργασίες για το ενισχυόμενο έργο ή δραστηριότητα, με εξαίρεση την περίπτωση διάδοχων φορολογικών καθεστώτων, εφόσον η δραστηριότητα είχε ήδη καλυφθεί από τα προηγούμενα καθεστώτα υπό μορφή φορολογικών πλεονεκτημάτων.</w:t>
            </w:r>
          </w:p>
          <w:p w:rsidR="001A7FDD" w:rsidRPr="001161D2" w:rsidRDefault="001A7FDD" w:rsidP="00E93688">
            <w:pPr>
              <w:numPr>
                <w:ilvl w:val="0"/>
                <w:numId w:val="4"/>
              </w:numPr>
              <w:autoSpaceDE w:val="0"/>
              <w:autoSpaceDN w:val="0"/>
              <w:adjustRightInd w:val="0"/>
              <w:jc w:val="both"/>
              <w:rPr>
                <w:b/>
                <w:sz w:val="22"/>
                <w:szCs w:val="22"/>
              </w:rPr>
            </w:pPr>
            <w:r>
              <w:rPr>
                <w:b/>
              </w:rPr>
              <w:t>ενισχύσεις για τον πολιτισμό και τη διατήρηση της κληρονομιάς</w:t>
            </w:r>
            <w:r>
              <w:t>, εφόσον πληρούνται οι προϋποθέσεις που προβλέπονται στο άρθρο 53.</w:t>
            </w:r>
          </w:p>
        </w:tc>
        <w:tc>
          <w:tcPr>
            <w:tcW w:w="6379" w:type="dxa"/>
            <w:shd w:val="clear" w:color="auto" w:fill="auto"/>
          </w:tcPr>
          <w:p w:rsidR="001A7FDD" w:rsidRPr="001161D2" w:rsidRDefault="001A7FDD" w:rsidP="00AE3359">
            <w:pPr>
              <w:rPr>
                <w:sz w:val="22"/>
                <w:szCs w:val="22"/>
              </w:rPr>
            </w:pPr>
          </w:p>
        </w:tc>
      </w:tr>
      <w:tr w:rsidR="000E10AB" w:rsidRPr="001161D2" w:rsidTr="006D79B1">
        <w:trPr>
          <w:trHeight w:val="344"/>
        </w:trPr>
        <w:tc>
          <w:tcPr>
            <w:tcW w:w="8233" w:type="dxa"/>
            <w:shd w:val="clear" w:color="auto" w:fill="D9D9D9"/>
          </w:tcPr>
          <w:p w:rsidR="000E10AB" w:rsidRPr="001161D2" w:rsidRDefault="000E10AB" w:rsidP="00AE3359">
            <w:pPr>
              <w:jc w:val="both"/>
              <w:rPr>
                <w:b/>
                <w:sz w:val="22"/>
                <w:szCs w:val="22"/>
              </w:rPr>
            </w:pPr>
            <w:r>
              <w:rPr>
                <w:b/>
                <w:sz w:val="22"/>
              </w:rPr>
              <w:lastRenderedPageBreak/>
              <w:t>Άρθρο 7 — Επιλέξιμες δαπάνες</w:t>
            </w:r>
          </w:p>
        </w:tc>
        <w:tc>
          <w:tcPr>
            <w:tcW w:w="6379" w:type="dxa"/>
            <w:shd w:val="clear" w:color="auto" w:fill="D9D9D9"/>
          </w:tcPr>
          <w:p w:rsidR="000E10AB" w:rsidRPr="001161D2" w:rsidRDefault="000E10AB" w:rsidP="00AE3359">
            <w:pPr>
              <w:rPr>
                <w:sz w:val="22"/>
                <w:szCs w:val="22"/>
              </w:rPr>
            </w:pPr>
          </w:p>
        </w:tc>
      </w:tr>
      <w:tr w:rsidR="000E10AB" w:rsidRPr="001161D2" w:rsidTr="001161D2">
        <w:trPr>
          <w:trHeight w:val="127"/>
        </w:trPr>
        <w:tc>
          <w:tcPr>
            <w:tcW w:w="8233" w:type="dxa"/>
            <w:tcBorders>
              <w:bottom w:val="single" w:sz="4" w:space="0" w:color="auto"/>
            </w:tcBorders>
            <w:shd w:val="clear" w:color="auto" w:fill="auto"/>
          </w:tcPr>
          <w:p w:rsidR="00F40159" w:rsidRPr="001161D2" w:rsidRDefault="00AE3359" w:rsidP="001161D2">
            <w:pPr>
              <w:jc w:val="both"/>
              <w:rPr>
                <w:sz w:val="22"/>
                <w:szCs w:val="22"/>
              </w:rPr>
            </w:pPr>
            <w:r>
              <w:rPr>
                <w:sz w:val="22"/>
              </w:rPr>
              <w:t>Για τον υπολογισμό της έντασης της ενίσχυσης (όταν η ένταση της ενίσχυσης δεν είναι ίση με 100%)</w:t>
            </w:r>
          </w:p>
          <w:p w:rsidR="00F40159" w:rsidRPr="001161D2" w:rsidRDefault="009F2DB2" w:rsidP="00AE3359">
            <w:pPr>
              <w:numPr>
                <w:ilvl w:val="0"/>
                <w:numId w:val="12"/>
              </w:numPr>
              <w:jc w:val="both"/>
              <w:rPr>
                <w:sz w:val="22"/>
                <w:szCs w:val="22"/>
              </w:rPr>
            </w:pPr>
            <w:r>
              <w:rPr>
                <w:sz w:val="22"/>
              </w:rPr>
              <w:t>Αριθμητικά στοιχεία πριν από την αφαίρεση φόρων ή άλλων επιβαρύνσεων·</w:t>
            </w:r>
          </w:p>
          <w:p w:rsidR="00F40159" w:rsidRPr="001161D2" w:rsidRDefault="00F40159" w:rsidP="00AE3359">
            <w:pPr>
              <w:numPr>
                <w:ilvl w:val="0"/>
                <w:numId w:val="12"/>
              </w:numPr>
              <w:jc w:val="both"/>
              <w:rPr>
                <w:sz w:val="22"/>
                <w:szCs w:val="22"/>
              </w:rPr>
            </w:pPr>
            <w:r>
              <w:rPr>
                <w:sz w:val="22"/>
              </w:rPr>
              <w:t>εφόσον η ενίσχυση χορηγείται με μορφή άλλη εκτός από επιχορήγηση, το ποσό της ενίσχυσης είναι το ακαθάριστο ισοδύναμο επιχορήγησης της ενίσχυσης·</w:t>
            </w:r>
          </w:p>
          <w:p w:rsidR="00827EF8" w:rsidRPr="0008770C" w:rsidRDefault="00827EF8" w:rsidP="00827EF8">
            <w:pPr>
              <w:numPr>
                <w:ilvl w:val="0"/>
                <w:numId w:val="12"/>
              </w:numPr>
              <w:jc w:val="both"/>
            </w:pPr>
            <w:r>
              <w:t>Οι οφειλόμενες για το μέλλον ενισχύσεις, συμπεριλαμβανομένων των ενισχύσεων που καταβάλλονται σε περισσότερες δόσεις, ανάγονται στην αξία τους κατά τον χρόνο χορήγησης. Οι επιλέξιμες δαπάνες επίσης ανάγονται στην αξία τους κατά  τον χρόνο χορήγησης της ενίσχυσης. Το προεξοφλητικό επιτόκιο είναι το επιτόκιο που ίσχυε κατά τον χρόνο χορήγησης της ενίσχυσης·</w:t>
            </w:r>
          </w:p>
          <w:p w:rsidR="00F40159" w:rsidRPr="001161D2" w:rsidRDefault="00F40159" w:rsidP="001161D2">
            <w:pPr>
              <w:numPr>
                <w:ilvl w:val="0"/>
                <w:numId w:val="12"/>
              </w:numPr>
              <w:autoSpaceDE w:val="0"/>
              <w:autoSpaceDN w:val="0"/>
              <w:adjustRightInd w:val="0"/>
              <w:jc w:val="both"/>
              <w:rPr>
                <w:sz w:val="22"/>
                <w:szCs w:val="22"/>
              </w:rPr>
            </w:pPr>
            <w:r>
              <w:rPr>
                <w:sz w:val="22"/>
              </w:rPr>
              <w:t>εάν οι ενισχύσεις χορηγούνται με τη μορφή επιστρεπτέων προκαταβολών οι οποίες, ελλείψει αποδεκτής μεθόδου για τον υπολογισμό του αντίστοιχου ακαθάριστου ισοδύναμου επιχορήγησης, εκφράζονται ως ποσοστό των επιλέξιμων δαπανών και το μέτρο προβλέπει ότι σε περίπτωση επιτυχούς έκβασης του έργου, όπως προσδιορίζεται βάσει εύλογων και συνετών υποθέσεων, οι προκαταβολές θα επιστρέφονται με επιτόκιο τουλάχιστον ίσο προς το προεξοφλητικό επιτόκιο που ίσχυε κατά τον χρόνο χορήγησης της ενίσχυσης, η μέγιστη ένταση ενίσχυσης μπορεί να αυξηθεί κατά 10 εκατοστιαίες μονάδες.</w:t>
            </w:r>
          </w:p>
          <w:p w:rsidR="00F40159" w:rsidRPr="001161D2" w:rsidRDefault="00F40159" w:rsidP="001161D2">
            <w:pPr>
              <w:autoSpaceDE w:val="0"/>
              <w:autoSpaceDN w:val="0"/>
              <w:adjustRightInd w:val="0"/>
              <w:jc w:val="both"/>
              <w:rPr>
                <w:sz w:val="22"/>
                <w:szCs w:val="22"/>
              </w:rPr>
            </w:pPr>
            <w:r>
              <w:rPr>
                <w:sz w:val="22"/>
              </w:rPr>
              <w:t>Επιλέξιμες δαπάνες και τεκμηρίωση</w:t>
            </w:r>
          </w:p>
          <w:p w:rsidR="000E10AB" w:rsidRDefault="00F40159" w:rsidP="00AE3359">
            <w:pPr>
              <w:numPr>
                <w:ilvl w:val="0"/>
                <w:numId w:val="12"/>
              </w:numPr>
              <w:autoSpaceDE w:val="0"/>
              <w:autoSpaceDN w:val="0"/>
              <w:adjustRightInd w:val="0"/>
              <w:jc w:val="both"/>
              <w:rPr>
                <w:sz w:val="22"/>
                <w:szCs w:val="22"/>
              </w:rPr>
            </w:pPr>
            <w:r>
              <w:rPr>
                <w:sz w:val="22"/>
              </w:rPr>
              <w:t xml:space="preserve">Οι επιλέξιμες δαπάνες τεκμηριώνονται με σαφή, συγκεκριμένα και επικαιροποιημένα έγγραφα. </w:t>
            </w:r>
          </w:p>
          <w:p w:rsidR="00827EF8" w:rsidRPr="001161D2" w:rsidRDefault="00827EF8" w:rsidP="00AE3359">
            <w:pPr>
              <w:numPr>
                <w:ilvl w:val="0"/>
                <w:numId w:val="12"/>
              </w:numPr>
              <w:autoSpaceDE w:val="0"/>
              <w:autoSpaceDN w:val="0"/>
              <w:adjustRightInd w:val="0"/>
              <w:jc w:val="both"/>
              <w:rPr>
                <w:sz w:val="22"/>
                <w:szCs w:val="22"/>
              </w:rPr>
            </w:pPr>
            <w:r>
              <w:rPr>
                <w:sz w:val="22"/>
              </w:rPr>
              <w:t xml:space="preserve">Το ποσό των επιλέξιμων δαπανών μπορεί να υπολογίζεται σύμφωνα με τις απλουστευμένες επιλογές κόστους που καθορίζονται στον κανονισμό (ΕΕ) αριθ. 1303/2013, υπό την προϋπόθεση ότι η πράξη χρηματοδοτείται τουλάχιστον εν μέρει μέσω ταμείου της Ένωσης που επιτρέπει τη χρήση αυτών των απλουστευμένων επιλογών κόστους και ότι η κατηγορία δαπανών είναι επιλέξιμη σύμφωνα με τη </w:t>
            </w:r>
            <w:r>
              <w:rPr>
                <w:sz w:val="22"/>
              </w:rPr>
              <w:lastRenderedPageBreak/>
              <w:t>σχετική διάταξη εξαίρεσης.</w:t>
            </w:r>
          </w:p>
        </w:tc>
        <w:tc>
          <w:tcPr>
            <w:tcW w:w="6379" w:type="dxa"/>
            <w:shd w:val="clear" w:color="auto" w:fill="auto"/>
          </w:tcPr>
          <w:p w:rsidR="000E10AB" w:rsidRPr="001161D2" w:rsidRDefault="000E10AB" w:rsidP="00AE3359">
            <w:pPr>
              <w:rPr>
                <w:sz w:val="22"/>
                <w:szCs w:val="22"/>
              </w:rPr>
            </w:pPr>
          </w:p>
        </w:tc>
      </w:tr>
      <w:tr w:rsidR="000E10AB" w:rsidRPr="001161D2" w:rsidTr="000B0A2E">
        <w:trPr>
          <w:trHeight w:val="271"/>
        </w:trPr>
        <w:tc>
          <w:tcPr>
            <w:tcW w:w="8233" w:type="dxa"/>
            <w:shd w:val="clear" w:color="auto" w:fill="D9D9D9"/>
          </w:tcPr>
          <w:p w:rsidR="000E10AB" w:rsidRPr="001161D2" w:rsidRDefault="000E10AB" w:rsidP="00AE3359">
            <w:pPr>
              <w:jc w:val="both"/>
              <w:rPr>
                <w:b/>
                <w:sz w:val="22"/>
                <w:szCs w:val="22"/>
              </w:rPr>
            </w:pPr>
            <w:r>
              <w:rPr>
                <w:b/>
                <w:sz w:val="22"/>
              </w:rPr>
              <w:lastRenderedPageBreak/>
              <w:t>Άρθρο 8 — Σώρευση</w:t>
            </w:r>
          </w:p>
        </w:tc>
        <w:tc>
          <w:tcPr>
            <w:tcW w:w="6379" w:type="dxa"/>
            <w:shd w:val="clear" w:color="auto" w:fill="D9D9D9"/>
          </w:tcPr>
          <w:p w:rsidR="000E10AB" w:rsidRPr="001161D2" w:rsidRDefault="000E10AB" w:rsidP="006C6F59">
            <w:pPr>
              <w:rPr>
                <w:sz w:val="22"/>
                <w:szCs w:val="22"/>
              </w:rPr>
            </w:pPr>
          </w:p>
        </w:tc>
      </w:tr>
      <w:tr w:rsidR="000E10AB" w:rsidRPr="001161D2" w:rsidTr="00895393">
        <w:trPr>
          <w:trHeight w:val="271"/>
        </w:trPr>
        <w:tc>
          <w:tcPr>
            <w:tcW w:w="8233" w:type="dxa"/>
            <w:tcBorders>
              <w:bottom w:val="single" w:sz="4" w:space="0" w:color="auto"/>
            </w:tcBorders>
            <w:shd w:val="clear" w:color="auto" w:fill="auto"/>
          </w:tcPr>
          <w:p w:rsidR="0071555B" w:rsidRPr="001161D2" w:rsidRDefault="0071555B" w:rsidP="00AE3359">
            <w:pPr>
              <w:numPr>
                <w:ilvl w:val="0"/>
                <w:numId w:val="13"/>
              </w:numPr>
              <w:jc w:val="both"/>
              <w:rPr>
                <w:sz w:val="22"/>
                <w:szCs w:val="22"/>
              </w:rPr>
            </w:pPr>
            <w:r>
              <w:t xml:space="preserve">Για τα όρια και τις μέγιστες εντάσεις ενίσχυσης λαμβάνεται υπόψη </w:t>
            </w:r>
            <w:r>
              <w:rPr>
                <w:b/>
                <w:sz w:val="22"/>
              </w:rPr>
              <w:t>το συνολικό ποσό</w:t>
            </w:r>
            <w:r>
              <w:t xml:space="preserve"> της ενίσχυσης (παράγραφος 1)·</w:t>
            </w:r>
          </w:p>
          <w:p w:rsidR="0071555B" w:rsidRPr="001161D2" w:rsidRDefault="0071555B" w:rsidP="00AE3359">
            <w:pPr>
              <w:numPr>
                <w:ilvl w:val="0"/>
                <w:numId w:val="13"/>
              </w:numPr>
              <w:autoSpaceDE w:val="0"/>
              <w:autoSpaceDN w:val="0"/>
              <w:adjustRightInd w:val="0"/>
              <w:jc w:val="both"/>
              <w:rPr>
                <w:sz w:val="22"/>
                <w:szCs w:val="22"/>
              </w:rPr>
            </w:pPr>
            <w:r>
              <w:rPr>
                <w:sz w:val="22"/>
              </w:rPr>
              <w:t xml:space="preserve">εάν </w:t>
            </w:r>
            <w:r>
              <w:rPr>
                <w:b/>
                <w:sz w:val="22"/>
              </w:rPr>
              <w:t>ενωσιακή χρηματοδότηση</w:t>
            </w:r>
            <w:r>
              <w:rPr>
                <w:sz w:val="22"/>
              </w:rPr>
              <w:t xml:space="preserve"> (που δεν τελεί υπό τον έλεγχο του κράτους μέλους) συνδυάζεται με κρατική ενίσχυση, για να εξακριβωθεί κατά πόσον τηρούνται τα όρια κοινοποίησης και οι μέγιστες εντάσεις ενίσχυσης ή τα μέγιστα ποσά ενίσχυσης, λαμβάνονται υπόψη μόνο οι κρατικές ενισχύσεις, με την προϋπόθεση ότι το συνολικό ποσό της δημόσιας χρηματοδότησης που χορηγείται για τις ίδιες επιλέξιμες δαπάνες δεν υπερβαίνει το πλέον ευνοϊκό ποσοστό χρηματοδότησης που καθορίζουν οι ισχύοντες κανόνες της ενωσιακής νομοθεσίας (παράγραφος 2)·</w:t>
            </w:r>
          </w:p>
          <w:p w:rsidR="0071555B" w:rsidRPr="001161D2" w:rsidRDefault="0071555B" w:rsidP="00AE3359">
            <w:pPr>
              <w:numPr>
                <w:ilvl w:val="0"/>
                <w:numId w:val="13"/>
              </w:numPr>
              <w:jc w:val="both"/>
              <w:rPr>
                <w:sz w:val="22"/>
                <w:szCs w:val="22"/>
              </w:rPr>
            </w:pPr>
            <w:r>
              <w:rPr>
                <w:sz w:val="22"/>
              </w:rPr>
              <w:t xml:space="preserve">οι απαλλασσόμενες ενισχύσεις μπορούν να σωρευθούν με οποιεσδήποτε άλλες κρατικές ενισχύσεις, εάν πρόκειται για </w:t>
            </w:r>
            <w:r>
              <w:rPr>
                <w:b/>
                <w:sz w:val="22"/>
              </w:rPr>
              <w:t>διαφορετικές προσδιορίσιμες δαπάνες</w:t>
            </w:r>
            <w:r>
              <w:rPr>
                <w:sz w:val="22"/>
              </w:rPr>
              <w:t xml:space="preserve"> (παράγραφος 3 στοιχείο α))·</w:t>
            </w:r>
          </w:p>
          <w:p w:rsidR="0071555B" w:rsidRPr="001161D2" w:rsidRDefault="0071555B" w:rsidP="00AE3359">
            <w:pPr>
              <w:numPr>
                <w:ilvl w:val="0"/>
                <w:numId w:val="13"/>
              </w:numPr>
              <w:jc w:val="both"/>
              <w:rPr>
                <w:sz w:val="22"/>
                <w:szCs w:val="22"/>
              </w:rPr>
            </w:pPr>
            <w:r>
              <w:rPr>
                <w:sz w:val="22"/>
              </w:rPr>
              <w:t xml:space="preserve">δεν επιτρέπεται η σώρευση των απαλλασσόμενων ενισχύσεων με οποιεσδήποτε άλλες ενισχύσεις για τις </w:t>
            </w:r>
            <w:r>
              <w:rPr>
                <w:b/>
                <w:sz w:val="22"/>
              </w:rPr>
              <w:t>ίδιες επιλέξιμες δαπάνες</w:t>
            </w:r>
            <w:r>
              <w:rPr>
                <w:sz w:val="22"/>
              </w:rPr>
              <w:t>, οι οποίες επικαλύπτονται πλήρως ή εν μέρει, εάν το αποτέλεσμα υπερβαίνει την υψηλότερη ένταση ενίσχυσης/το υψηλότερο ποσό ενίσχυσης που εφαρμόζεται στην ενίσχυση αυτή (παράγραφος 3 στοιχείο β))·</w:t>
            </w:r>
          </w:p>
          <w:p w:rsidR="000E10AB" w:rsidRPr="001161D2" w:rsidRDefault="0071555B" w:rsidP="00AE3359">
            <w:pPr>
              <w:numPr>
                <w:ilvl w:val="0"/>
                <w:numId w:val="13"/>
              </w:numPr>
              <w:jc w:val="both"/>
              <w:rPr>
                <w:sz w:val="22"/>
                <w:szCs w:val="22"/>
              </w:rPr>
            </w:pPr>
            <w:r>
              <w:rPr>
                <w:sz w:val="22"/>
              </w:rPr>
              <w:t xml:space="preserve">οι κρατικές ενισχύσεις που τυγχάνουν απαλλαγής δυνάμει του ΓΚΑΚ δεν σωρεύονται με οποιεσδήποτε </w:t>
            </w:r>
            <w:r>
              <w:rPr>
                <w:b/>
                <w:sz w:val="22"/>
              </w:rPr>
              <w:t>ενισχύσεις ήσσονος σημασίας</w:t>
            </w:r>
            <w:r>
              <w:rPr>
                <w:sz w:val="22"/>
              </w:rPr>
              <w:t xml:space="preserve"> που αφορούν τις ίδιες επιλέξιμες δαπάνες, εάν η σώρευση αυτή θα οδηγήσει σε υπέρβαση της έντασης ενίσχυσης που προβλέπεται στο κεφάλαιο III του ΓΚΑΚ (παράγραφος 5).</w:t>
            </w:r>
          </w:p>
        </w:tc>
        <w:tc>
          <w:tcPr>
            <w:tcW w:w="6379" w:type="dxa"/>
            <w:shd w:val="clear" w:color="auto" w:fill="auto"/>
          </w:tcPr>
          <w:p w:rsidR="000E10AB" w:rsidRPr="001161D2" w:rsidRDefault="000E10AB" w:rsidP="006C6F59">
            <w:pPr>
              <w:rPr>
                <w:sz w:val="22"/>
                <w:szCs w:val="22"/>
              </w:rPr>
            </w:pPr>
          </w:p>
        </w:tc>
      </w:tr>
      <w:tr w:rsidR="0007352F" w:rsidRPr="002B692E" w:rsidTr="006D79B1">
        <w:trPr>
          <w:trHeight w:val="271"/>
        </w:trPr>
        <w:tc>
          <w:tcPr>
            <w:tcW w:w="8233" w:type="dxa"/>
            <w:tcBorders>
              <w:top w:val="single" w:sz="4" w:space="0" w:color="auto"/>
              <w:left w:val="single" w:sz="4" w:space="0" w:color="auto"/>
              <w:bottom w:val="single" w:sz="4" w:space="0" w:color="auto"/>
              <w:right w:val="single" w:sz="4" w:space="0" w:color="auto"/>
            </w:tcBorders>
            <w:shd w:val="clear" w:color="auto" w:fill="D9D9D9"/>
          </w:tcPr>
          <w:p w:rsidR="0007352F" w:rsidRPr="002B692E" w:rsidRDefault="0007352F" w:rsidP="0007352F">
            <w:pPr>
              <w:tabs>
                <w:tab w:val="num" w:pos="360"/>
              </w:tabs>
              <w:ind w:left="360" w:hanging="360"/>
              <w:jc w:val="both"/>
              <w:rPr>
                <w:b/>
                <w:sz w:val="22"/>
                <w:szCs w:val="22"/>
              </w:rPr>
            </w:pPr>
            <w:r>
              <w:rPr>
                <w:b/>
                <w:sz w:val="22"/>
              </w:rPr>
              <w:t xml:space="preserve">Άρθρο 9 — Δημοσίευση και πληροφορίες </w:t>
            </w:r>
          </w:p>
        </w:tc>
        <w:tc>
          <w:tcPr>
            <w:tcW w:w="6379" w:type="dxa"/>
            <w:tcBorders>
              <w:top w:val="single" w:sz="4" w:space="0" w:color="auto"/>
              <w:left w:val="single" w:sz="4" w:space="0" w:color="auto"/>
              <w:bottom w:val="single" w:sz="4" w:space="0" w:color="auto"/>
              <w:right w:val="single" w:sz="4" w:space="0" w:color="auto"/>
            </w:tcBorders>
            <w:shd w:val="clear" w:color="auto" w:fill="D9D9D9"/>
          </w:tcPr>
          <w:p w:rsidR="0007352F" w:rsidRPr="002B692E" w:rsidRDefault="0007352F" w:rsidP="00FE5850">
            <w:pPr>
              <w:rPr>
                <w:sz w:val="22"/>
                <w:szCs w:val="22"/>
              </w:rPr>
            </w:pPr>
          </w:p>
        </w:tc>
      </w:tr>
      <w:tr w:rsidR="0007352F" w:rsidRPr="002B692E" w:rsidTr="0007352F">
        <w:trPr>
          <w:trHeight w:val="271"/>
        </w:trPr>
        <w:tc>
          <w:tcPr>
            <w:tcW w:w="8233" w:type="dxa"/>
            <w:tcBorders>
              <w:top w:val="single" w:sz="4" w:space="0" w:color="auto"/>
              <w:left w:val="single" w:sz="4" w:space="0" w:color="auto"/>
              <w:bottom w:val="single" w:sz="4" w:space="0" w:color="auto"/>
              <w:right w:val="single" w:sz="4" w:space="0" w:color="auto"/>
            </w:tcBorders>
            <w:shd w:val="clear" w:color="auto" w:fill="auto"/>
          </w:tcPr>
          <w:p w:rsidR="0007352F" w:rsidRPr="006D79B1" w:rsidRDefault="0007352F" w:rsidP="0007352F">
            <w:pPr>
              <w:numPr>
                <w:ilvl w:val="0"/>
                <w:numId w:val="22"/>
              </w:numPr>
              <w:autoSpaceDE w:val="0"/>
              <w:autoSpaceDN w:val="0"/>
              <w:adjustRightInd w:val="0"/>
              <w:ind w:left="328" w:hanging="328"/>
              <w:jc w:val="both"/>
              <w:rPr>
                <w:sz w:val="22"/>
                <w:szCs w:val="22"/>
              </w:rPr>
            </w:pPr>
            <w:r>
              <w:rPr>
                <w:sz w:val="22"/>
              </w:rPr>
              <w:t>Δημοσιεύονται σε εμπεριστατωμένο δικτυακό τόπο για τις κρατικές ενισχύσεις, σε εθνικό ή περιφερειακό επίπεδο, τα εξής (παράγραφος 1):</w:t>
            </w:r>
          </w:p>
          <w:p w:rsidR="0007352F" w:rsidRPr="006D79B1" w:rsidRDefault="0007352F" w:rsidP="00FC2121">
            <w:pPr>
              <w:numPr>
                <w:ilvl w:val="0"/>
                <w:numId w:val="32"/>
              </w:numPr>
              <w:autoSpaceDE w:val="0"/>
              <w:autoSpaceDN w:val="0"/>
              <w:adjustRightInd w:val="0"/>
              <w:jc w:val="both"/>
              <w:rPr>
                <w:sz w:val="22"/>
                <w:szCs w:val="22"/>
              </w:rPr>
            </w:pPr>
            <w:r>
              <w:rPr>
                <w:sz w:val="22"/>
              </w:rPr>
              <w:t>οι συνοπτικές πληροφορίες (βλ. άρθρο 11) ή σύνδεσμος που παρέχει πρόσβαση σε αυτές·</w:t>
            </w:r>
          </w:p>
          <w:p w:rsidR="0007352F" w:rsidRPr="006D79B1" w:rsidRDefault="0007352F" w:rsidP="00FC2121">
            <w:pPr>
              <w:numPr>
                <w:ilvl w:val="0"/>
                <w:numId w:val="32"/>
              </w:numPr>
              <w:autoSpaceDE w:val="0"/>
              <w:autoSpaceDN w:val="0"/>
              <w:adjustRightInd w:val="0"/>
              <w:jc w:val="both"/>
              <w:rPr>
                <w:sz w:val="22"/>
                <w:szCs w:val="22"/>
              </w:rPr>
            </w:pPr>
            <w:r>
              <w:rPr>
                <w:sz w:val="22"/>
              </w:rPr>
              <w:t>το πλήρες κείμενο κάθε μέτρου ενίσχυσης (βλ. άρθρο 11) ή σύνδεσμος που παρέχει πρόσβαση στο πλήρες κείμενο·</w:t>
            </w:r>
          </w:p>
          <w:p w:rsidR="0007352F" w:rsidRPr="006D79B1" w:rsidRDefault="0007352F" w:rsidP="00FC2121">
            <w:pPr>
              <w:numPr>
                <w:ilvl w:val="0"/>
                <w:numId w:val="32"/>
              </w:numPr>
              <w:autoSpaceDE w:val="0"/>
              <w:autoSpaceDN w:val="0"/>
              <w:adjustRightInd w:val="0"/>
              <w:jc w:val="both"/>
              <w:rPr>
                <w:sz w:val="22"/>
                <w:szCs w:val="22"/>
              </w:rPr>
            </w:pPr>
            <w:r>
              <w:rPr>
                <w:sz w:val="22"/>
              </w:rPr>
              <w:t>οι πληροφορίες για κάθε χορήγηση μεμονωμένης ενίσχυσης που υπερβαίνει τα 500 000 EUR (βλ. παράρτημα III).</w:t>
            </w:r>
          </w:p>
          <w:p w:rsidR="0007352F" w:rsidRPr="006D79B1" w:rsidRDefault="0007352F" w:rsidP="0007352F">
            <w:pPr>
              <w:tabs>
                <w:tab w:val="num" w:pos="360"/>
              </w:tabs>
              <w:ind w:left="360" w:hanging="360"/>
              <w:jc w:val="both"/>
              <w:rPr>
                <w:sz w:val="22"/>
                <w:szCs w:val="22"/>
              </w:rPr>
            </w:pPr>
            <w:r>
              <w:rPr>
                <w:sz w:val="22"/>
              </w:rPr>
              <w:t xml:space="preserve">Όσον αφορά τις ενισχύσεις που χορηγούνται για έργα ευρωπαϊκής εδαφικής συνεργασίας, οι πληροφορίες που αναφέρονται στην παρούσα παράγραφο αναρτώνται στον δικτυακό τόπο του κράτους μέλους στο οποίο έχει την έδρα της η αρμόδια διαχειριστική αρχή, όπως ορίζεται στο άρθρο 21 του κανονισμού (ΕΕ) αριθ. 1299/2013 του Ευρωπαϊκού Κοινοβουλίου και του Συμβουλίου. Εναλλακτικά, </w:t>
            </w:r>
            <w:r>
              <w:rPr>
                <w:sz w:val="22"/>
              </w:rPr>
              <w:lastRenderedPageBreak/>
              <w:t>τα συμμετέχοντα κράτη μέλη μπορούν επίσης να αποφασίσουν ότι καθένα από αυτά θα παρέχει τις πληροφορίες που αφορούν τα μέτρα ενίσχυσης εντός της επικράτειάς του στον αντίστοιχο δικτυακό τόπο.</w:t>
            </w:r>
          </w:p>
          <w:p w:rsidR="0007352F" w:rsidRPr="006D79B1" w:rsidRDefault="0007352F" w:rsidP="0007352F">
            <w:pPr>
              <w:numPr>
                <w:ilvl w:val="0"/>
                <w:numId w:val="22"/>
              </w:numPr>
              <w:autoSpaceDE w:val="0"/>
              <w:autoSpaceDN w:val="0"/>
              <w:adjustRightInd w:val="0"/>
              <w:ind w:left="328" w:hanging="283"/>
              <w:jc w:val="both"/>
              <w:rPr>
                <w:sz w:val="22"/>
                <w:szCs w:val="22"/>
              </w:rPr>
            </w:pPr>
            <w:r>
              <w:rPr>
                <w:sz w:val="22"/>
              </w:rPr>
              <w:t>Για τα καθεστώτα υπό μορφή φορολογικών πλεονεκτημάτων και για τα καθεστώτα που υπάγονται στα άρθρα 16 και 21 (εξαιρουμένων των ΜΜΕ που δεν έχουν πραγματοποιήσει καμία εμπορική πώληση σε οποιαδήποτε αγορά), οι όροι που αναφέρονται στην παράγραφο 1 στοιχείο γ) του παρόντος άρθρου θεωρείται ότι πληρούνται, εάν τα κράτη μέλη δημοσιεύουν τις απαιτούμενες πληροφορίες για τα ποσά των μεμονωμένων ενισχύσεων στις εξής κλίμακες (σε εκατ. EUR) (παράγραφος 2):</w:t>
            </w:r>
          </w:p>
          <w:p w:rsidR="0007352F" w:rsidRPr="006D79B1" w:rsidRDefault="0007352F" w:rsidP="0007352F">
            <w:pPr>
              <w:numPr>
                <w:ilvl w:val="0"/>
                <w:numId w:val="24"/>
              </w:numPr>
              <w:autoSpaceDE w:val="0"/>
              <w:autoSpaceDN w:val="0"/>
              <w:adjustRightInd w:val="0"/>
              <w:jc w:val="both"/>
              <w:rPr>
                <w:sz w:val="22"/>
                <w:szCs w:val="22"/>
              </w:rPr>
            </w:pPr>
            <w:r>
              <w:rPr>
                <w:sz w:val="22"/>
              </w:rPr>
              <w:t>0,5 -1</w:t>
            </w:r>
          </w:p>
          <w:p w:rsidR="0007352F" w:rsidRPr="006D79B1" w:rsidRDefault="0007352F" w:rsidP="0007352F">
            <w:pPr>
              <w:numPr>
                <w:ilvl w:val="0"/>
                <w:numId w:val="24"/>
              </w:numPr>
              <w:autoSpaceDE w:val="0"/>
              <w:autoSpaceDN w:val="0"/>
              <w:adjustRightInd w:val="0"/>
              <w:jc w:val="both"/>
              <w:rPr>
                <w:sz w:val="22"/>
                <w:szCs w:val="22"/>
              </w:rPr>
            </w:pPr>
            <w:r>
              <w:rPr>
                <w:sz w:val="22"/>
              </w:rPr>
              <w:t>1 -2</w:t>
            </w:r>
          </w:p>
          <w:p w:rsidR="0007352F" w:rsidRPr="006D79B1" w:rsidRDefault="0007352F" w:rsidP="0007352F">
            <w:pPr>
              <w:numPr>
                <w:ilvl w:val="0"/>
                <w:numId w:val="24"/>
              </w:numPr>
              <w:autoSpaceDE w:val="0"/>
              <w:autoSpaceDN w:val="0"/>
              <w:adjustRightInd w:val="0"/>
              <w:jc w:val="both"/>
              <w:rPr>
                <w:sz w:val="22"/>
                <w:szCs w:val="22"/>
              </w:rPr>
            </w:pPr>
            <w:r>
              <w:rPr>
                <w:sz w:val="22"/>
              </w:rPr>
              <w:t>2 -5</w:t>
            </w:r>
          </w:p>
          <w:p w:rsidR="0007352F" w:rsidRPr="006D79B1" w:rsidRDefault="0007352F" w:rsidP="0007352F">
            <w:pPr>
              <w:numPr>
                <w:ilvl w:val="0"/>
                <w:numId w:val="24"/>
              </w:numPr>
              <w:autoSpaceDE w:val="0"/>
              <w:autoSpaceDN w:val="0"/>
              <w:adjustRightInd w:val="0"/>
              <w:jc w:val="both"/>
              <w:rPr>
                <w:sz w:val="22"/>
                <w:szCs w:val="22"/>
              </w:rPr>
            </w:pPr>
            <w:r>
              <w:rPr>
                <w:sz w:val="22"/>
              </w:rPr>
              <w:t>5 -10</w:t>
            </w:r>
          </w:p>
          <w:p w:rsidR="0007352F" w:rsidRPr="006D79B1" w:rsidRDefault="0007352F" w:rsidP="0007352F">
            <w:pPr>
              <w:numPr>
                <w:ilvl w:val="0"/>
                <w:numId w:val="24"/>
              </w:numPr>
              <w:autoSpaceDE w:val="0"/>
              <w:autoSpaceDN w:val="0"/>
              <w:adjustRightInd w:val="0"/>
              <w:jc w:val="both"/>
              <w:rPr>
                <w:sz w:val="22"/>
                <w:szCs w:val="22"/>
              </w:rPr>
            </w:pPr>
            <w:r>
              <w:rPr>
                <w:sz w:val="22"/>
              </w:rPr>
              <w:t>10 -30 και</w:t>
            </w:r>
          </w:p>
          <w:p w:rsidR="0007352F" w:rsidRPr="006D79B1" w:rsidRDefault="0007352F" w:rsidP="0007352F">
            <w:pPr>
              <w:numPr>
                <w:ilvl w:val="0"/>
                <w:numId w:val="24"/>
              </w:numPr>
              <w:autoSpaceDE w:val="0"/>
              <w:autoSpaceDN w:val="0"/>
              <w:adjustRightInd w:val="0"/>
              <w:jc w:val="both"/>
              <w:rPr>
                <w:sz w:val="22"/>
                <w:szCs w:val="22"/>
              </w:rPr>
            </w:pPr>
            <w:r>
              <w:rPr>
                <w:sz w:val="22"/>
              </w:rPr>
              <w:t>30 και άνω.</w:t>
            </w:r>
          </w:p>
          <w:p w:rsidR="0007352F" w:rsidRPr="006D79B1" w:rsidRDefault="0007352F" w:rsidP="0007352F">
            <w:pPr>
              <w:numPr>
                <w:ilvl w:val="0"/>
                <w:numId w:val="22"/>
              </w:numPr>
              <w:autoSpaceDE w:val="0"/>
              <w:autoSpaceDN w:val="0"/>
              <w:adjustRightInd w:val="0"/>
              <w:ind w:left="328" w:hanging="283"/>
              <w:jc w:val="both"/>
              <w:rPr>
                <w:sz w:val="22"/>
                <w:szCs w:val="22"/>
              </w:rPr>
            </w:pPr>
            <w:r>
              <w:rPr>
                <w:sz w:val="22"/>
              </w:rPr>
              <w:t>Οι πληροφορίες που αναφέρονται στην παράγραφο 1 στοιχείο γ) οργανώνονται και είναι προσβάσιμες με τυποποιημένο τρόπο (βλ. παράρτημα III) και επιτρέπουν λειτουργίες αποτελεσματικής αναζήτησης και λήψης αρχείων. Οι πληροφορίες που αναφέρονται στην παράγραφο 1 δημοσιεύονται εντός 6 μηνών από την ημερομηνία χορήγησης της ενίσχυσης ή, για τις ενισχύσεις με τη μορφή φορολογικών πλεονεκτημάτων, εντός 1 έτους από τη λήξη της προθεσμίας υποβολής φορολογικής δήλωσης και παραμένουν διαθέσιμες για τουλάχιστον 10 έτη από την ημερομηνία χορήγησης της ενίσχυσης (παράγραφος 4).</w:t>
            </w:r>
          </w:p>
          <w:p w:rsidR="0007352F" w:rsidRPr="0007352F" w:rsidRDefault="0007352F" w:rsidP="0007352F">
            <w:pPr>
              <w:numPr>
                <w:ilvl w:val="0"/>
                <w:numId w:val="22"/>
              </w:numPr>
              <w:autoSpaceDE w:val="0"/>
              <w:autoSpaceDN w:val="0"/>
              <w:adjustRightInd w:val="0"/>
              <w:ind w:left="328" w:hanging="283"/>
              <w:jc w:val="both"/>
              <w:rPr>
                <w:b/>
                <w:sz w:val="22"/>
                <w:szCs w:val="22"/>
              </w:rPr>
            </w:pPr>
            <w:r>
              <w:rPr>
                <w:sz w:val="22"/>
              </w:rPr>
              <w:t>Τα κράτη μέλη συμμορφώνονται με τις διατάξεις του παρόντος άρθρου το αργότερο εντός δύο ετών από την έναρξη ισχύος του κανονισμού (δηλ. 1/7/2016) (παράγραφος 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7352F" w:rsidRPr="002B692E" w:rsidRDefault="0007352F" w:rsidP="00FE5850">
            <w:pPr>
              <w:rPr>
                <w:sz w:val="22"/>
                <w:szCs w:val="22"/>
              </w:rPr>
            </w:pPr>
          </w:p>
        </w:tc>
      </w:tr>
      <w:tr w:rsidR="0014007D" w:rsidTr="00AD72E7">
        <w:trPr>
          <w:trHeight w:val="271"/>
        </w:trPr>
        <w:tc>
          <w:tcPr>
            <w:tcW w:w="8233" w:type="dxa"/>
            <w:tcBorders>
              <w:top w:val="single" w:sz="4" w:space="0" w:color="auto"/>
              <w:left w:val="single" w:sz="4" w:space="0" w:color="auto"/>
              <w:bottom w:val="single" w:sz="4" w:space="0" w:color="auto"/>
              <w:right w:val="single" w:sz="4" w:space="0" w:color="auto"/>
            </w:tcBorders>
            <w:shd w:val="clear" w:color="auto" w:fill="D9D9D9"/>
          </w:tcPr>
          <w:p w:rsidR="0014007D" w:rsidRPr="00652617" w:rsidRDefault="0014007D" w:rsidP="0014007D">
            <w:pPr>
              <w:tabs>
                <w:tab w:val="num" w:pos="360"/>
              </w:tabs>
              <w:autoSpaceDE w:val="0"/>
              <w:autoSpaceDN w:val="0"/>
              <w:adjustRightInd w:val="0"/>
              <w:ind w:left="328" w:hanging="328"/>
              <w:jc w:val="both"/>
              <w:rPr>
                <w:b/>
                <w:sz w:val="22"/>
                <w:szCs w:val="22"/>
              </w:rPr>
            </w:pPr>
            <w:r>
              <w:rPr>
                <w:b/>
                <w:sz w:val="22"/>
              </w:rPr>
              <w:lastRenderedPageBreak/>
              <w:t>Άρθρο 11 — Υποβολή εκθέσεων (ενημερωτικά δελτία)</w:t>
            </w:r>
          </w:p>
        </w:tc>
        <w:tc>
          <w:tcPr>
            <w:tcW w:w="6379" w:type="dxa"/>
            <w:tcBorders>
              <w:top w:val="single" w:sz="4" w:space="0" w:color="auto"/>
              <w:left w:val="single" w:sz="4" w:space="0" w:color="auto"/>
              <w:bottom w:val="single" w:sz="4" w:space="0" w:color="auto"/>
              <w:right w:val="single" w:sz="4" w:space="0" w:color="auto"/>
            </w:tcBorders>
            <w:shd w:val="clear" w:color="auto" w:fill="D9D9D9"/>
          </w:tcPr>
          <w:p w:rsidR="0014007D" w:rsidRPr="0014007D" w:rsidRDefault="0014007D">
            <w:pPr>
              <w:rPr>
                <w:sz w:val="22"/>
                <w:szCs w:val="22"/>
              </w:rPr>
            </w:pPr>
          </w:p>
        </w:tc>
      </w:tr>
      <w:tr w:rsidR="0014007D" w:rsidTr="0014007D">
        <w:trPr>
          <w:trHeight w:val="271"/>
        </w:trPr>
        <w:tc>
          <w:tcPr>
            <w:tcW w:w="8233" w:type="dxa"/>
            <w:tcBorders>
              <w:top w:val="single" w:sz="4" w:space="0" w:color="auto"/>
              <w:left w:val="single" w:sz="4" w:space="0" w:color="auto"/>
              <w:bottom w:val="single" w:sz="4" w:space="0" w:color="auto"/>
              <w:right w:val="single" w:sz="4" w:space="0" w:color="auto"/>
            </w:tcBorders>
            <w:shd w:val="clear" w:color="auto" w:fill="auto"/>
          </w:tcPr>
          <w:p w:rsidR="0014007D" w:rsidRDefault="0014007D" w:rsidP="0014007D">
            <w:pPr>
              <w:numPr>
                <w:ilvl w:val="0"/>
                <w:numId w:val="25"/>
              </w:numPr>
              <w:autoSpaceDE w:val="0"/>
              <w:autoSpaceDN w:val="0"/>
              <w:adjustRightInd w:val="0"/>
              <w:ind w:left="328" w:hanging="283"/>
              <w:jc w:val="both"/>
              <w:rPr>
                <w:sz w:val="22"/>
                <w:szCs w:val="22"/>
              </w:rPr>
            </w:pPr>
            <w:r>
              <w:rPr>
                <w:sz w:val="22"/>
              </w:rPr>
              <w:t>Συνοπτικές πληροφορίες που διαβίβασε στην Επιτροπή υπό την τυποποιημένη μορφή που προβλέπεται στο παράρτημα II, καθώς και σύνδεσμος που παρέχει πρόσβαση στο πλήρες κείμενο του μέτρου, συμπεριλαμβανομένων των τροποποιήσεών του, εντός 20 εργάσιμων ημερών από την έναρξη ισχύος του μέτρου.</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14007D" w:rsidRPr="0014007D" w:rsidRDefault="0014007D">
            <w:pPr>
              <w:rPr>
                <w:sz w:val="22"/>
                <w:szCs w:val="22"/>
              </w:rPr>
            </w:pPr>
          </w:p>
        </w:tc>
      </w:tr>
    </w:tbl>
    <w:p w:rsidR="0007352F" w:rsidRDefault="0007352F" w:rsidP="00AE3359">
      <w:pPr>
        <w:rPr>
          <w:b/>
          <w:sz w:val="22"/>
          <w:szCs w:val="22"/>
        </w:rPr>
      </w:pPr>
    </w:p>
    <w:p w:rsidR="00E215B6" w:rsidRPr="001161D2" w:rsidRDefault="007D461F" w:rsidP="00AE3359">
      <w:pPr>
        <w:rPr>
          <w:sz w:val="22"/>
          <w:szCs w:val="22"/>
        </w:rPr>
      </w:pPr>
      <w:r>
        <w:rPr>
          <w:b/>
          <w:sz w:val="22"/>
        </w:rPr>
        <w:t>Για τους ορισμούς των εννοιών</w:t>
      </w:r>
      <w:r>
        <w:t>:</w:t>
      </w:r>
      <w:r>
        <w:rPr>
          <w:sz w:val="22"/>
        </w:rPr>
        <w:t xml:space="preserve"> άρθρο 2 (προσοχή στον νέο ορισμό της προβληματικής επιχείρησης)</w:t>
      </w:r>
    </w:p>
    <w:p w:rsidR="007D461F" w:rsidRPr="001161D2" w:rsidRDefault="007D461F" w:rsidP="006C6F59">
      <w:pPr>
        <w:rPr>
          <w:sz w:val="22"/>
          <w:szCs w:val="22"/>
        </w:rPr>
      </w:pPr>
      <w:r>
        <w:rPr>
          <w:b/>
          <w:sz w:val="22"/>
        </w:rPr>
        <w:t>Παρακολούθηση:</w:t>
      </w:r>
      <w:r>
        <w:rPr>
          <w:sz w:val="22"/>
        </w:rPr>
        <w:t xml:space="preserve"> άρθρο 12</w:t>
      </w:r>
    </w:p>
    <w:p w:rsidR="00933611" w:rsidRPr="001161D2" w:rsidRDefault="00DD57E1" w:rsidP="001161D2">
      <w:pPr>
        <w:rPr>
          <w:sz w:val="22"/>
          <w:szCs w:val="22"/>
        </w:rPr>
      </w:pPr>
      <w:r>
        <w:rPr>
          <w:b/>
          <w:sz w:val="22"/>
        </w:rPr>
        <w:t>Ανάκληση του ευεργετήματος της απαλλαγής κατά κατηγορία</w:t>
      </w:r>
      <w:r>
        <w:t>:</w:t>
      </w:r>
      <w:r>
        <w:rPr>
          <w:sz w:val="22"/>
        </w:rPr>
        <w:t xml:space="preserve"> άρθρο 10</w:t>
      </w:r>
    </w:p>
    <w:p w:rsidR="00933611" w:rsidRPr="001161D2" w:rsidRDefault="00933611" w:rsidP="001161D2">
      <w:pPr>
        <w:rPr>
          <w:sz w:val="22"/>
          <w:szCs w:val="22"/>
        </w:rPr>
      </w:pPr>
    </w:p>
    <w:p w:rsidR="00003D17" w:rsidRPr="001161D2" w:rsidRDefault="00003D17" w:rsidP="001161D2">
      <w:pPr>
        <w:jc w:val="center"/>
        <w:rPr>
          <w:sz w:val="22"/>
          <w:szCs w:val="22"/>
        </w:rPr>
      </w:pPr>
      <w:r>
        <w:rPr>
          <w:b/>
          <w:sz w:val="22"/>
          <w:u w:val="single"/>
        </w:rPr>
        <w:t>Β. Ειδικ</w:t>
      </w:r>
      <w:r w:rsidR="005D42EC">
        <w:rPr>
          <w:b/>
          <w:sz w:val="22"/>
          <w:u w:val="single"/>
        </w:rPr>
        <w:t>ές διατάξεις</w:t>
      </w:r>
      <w:r>
        <w:rPr>
          <w:b/>
          <w:sz w:val="22"/>
          <w:u w:val="single"/>
        </w:rPr>
        <w:t xml:space="preserve"> όσον αφορά τις ενισχύσεις για τον πολιτισμό και τη διατήρηση της κληρονομιάς</w:t>
      </w:r>
    </w:p>
    <w:p w:rsidR="00003D17" w:rsidRPr="001161D2" w:rsidRDefault="00003D17" w:rsidP="001161D2">
      <w:pPr>
        <w:rPr>
          <w:sz w:val="22"/>
          <w:szCs w:val="22"/>
        </w:rPr>
      </w:pP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6"/>
        <w:gridCol w:w="6753"/>
      </w:tblGrid>
      <w:tr w:rsidR="00EC2132" w:rsidRPr="00E93688" w:rsidTr="007A1162">
        <w:trPr>
          <w:trHeight w:val="145"/>
        </w:trPr>
        <w:tc>
          <w:tcPr>
            <w:tcW w:w="2687" w:type="pct"/>
            <w:tcBorders>
              <w:bottom w:val="single" w:sz="4" w:space="0" w:color="auto"/>
            </w:tcBorders>
            <w:shd w:val="clear" w:color="auto" w:fill="B8CCE4"/>
          </w:tcPr>
          <w:p w:rsidR="009C0788" w:rsidRPr="00E93688" w:rsidRDefault="00FC2121" w:rsidP="001161D2">
            <w:pPr>
              <w:ind w:left="360"/>
              <w:jc w:val="center"/>
              <w:rPr>
                <w:b/>
                <w:smallCaps/>
                <w:sz w:val="22"/>
                <w:szCs w:val="22"/>
              </w:rPr>
            </w:pPr>
            <w:proofErr w:type="spellStart"/>
            <w:r>
              <w:rPr>
                <w:b/>
                <w:smallCaps/>
                <w:sz w:val="22"/>
              </w:rPr>
              <w:t>Α</w:t>
            </w:r>
            <w:r w:rsidR="009C0788">
              <w:rPr>
                <w:b/>
                <w:smallCaps/>
                <w:sz w:val="22"/>
              </w:rPr>
              <w:t>ρθρο</w:t>
            </w:r>
            <w:proofErr w:type="spellEnd"/>
            <w:r w:rsidR="009C0788">
              <w:rPr>
                <w:b/>
                <w:smallCaps/>
                <w:sz w:val="22"/>
              </w:rPr>
              <w:t xml:space="preserve"> 53</w:t>
            </w:r>
          </w:p>
          <w:p w:rsidR="00BB080C" w:rsidRPr="00E93688" w:rsidRDefault="0007152F" w:rsidP="001161D2">
            <w:pPr>
              <w:ind w:left="360"/>
              <w:jc w:val="center"/>
              <w:rPr>
                <w:b/>
                <w:smallCaps/>
                <w:sz w:val="22"/>
                <w:szCs w:val="22"/>
              </w:rPr>
            </w:pPr>
            <w:r>
              <w:rPr>
                <w:b/>
                <w:smallCaps/>
                <w:sz w:val="22"/>
              </w:rPr>
              <w:t>Ενισχύσεις για τον πολιτισμό και τη διατήρηση της κληρονομιάς</w:t>
            </w:r>
          </w:p>
        </w:tc>
        <w:tc>
          <w:tcPr>
            <w:tcW w:w="2313" w:type="pct"/>
            <w:shd w:val="clear" w:color="auto" w:fill="B8CCE4"/>
          </w:tcPr>
          <w:p w:rsidR="00BB080C" w:rsidRPr="00E93688" w:rsidRDefault="00FC2121" w:rsidP="001161D2">
            <w:pPr>
              <w:jc w:val="center"/>
              <w:rPr>
                <w:b/>
                <w:smallCaps/>
                <w:sz w:val="22"/>
                <w:szCs w:val="22"/>
              </w:rPr>
            </w:pPr>
            <w:proofErr w:type="spellStart"/>
            <w:r>
              <w:rPr>
                <w:b/>
                <w:smallCaps/>
                <w:sz w:val="22"/>
              </w:rPr>
              <w:t>Ε</w:t>
            </w:r>
            <w:r w:rsidR="00BB080C">
              <w:rPr>
                <w:b/>
                <w:smallCaps/>
                <w:sz w:val="22"/>
              </w:rPr>
              <w:t>λεγχος</w:t>
            </w:r>
            <w:proofErr w:type="spellEnd"/>
            <w:r w:rsidR="00BB080C">
              <w:rPr>
                <w:b/>
                <w:smallCaps/>
                <w:sz w:val="22"/>
              </w:rPr>
              <w:t xml:space="preserve"> συμμόρφωσης (OK;)</w:t>
            </w:r>
          </w:p>
        </w:tc>
      </w:tr>
      <w:tr w:rsidR="00AE3359" w:rsidRPr="001161D2" w:rsidTr="00895393">
        <w:trPr>
          <w:trHeight w:val="850"/>
        </w:trPr>
        <w:tc>
          <w:tcPr>
            <w:tcW w:w="2687" w:type="pct"/>
            <w:shd w:val="clear" w:color="auto" w:fill="auto"/>
          </w:tcPr>
          <w:p w:rsidR="00AE3359" w:rsidRPr="00AE3359" w:rsidRDefault="00AE3359" w:rsidP="001161D2">
            <w:pPr>
              <w:jc w:val="both"/>
              <w:rPr>
                <w:sz w:val="22"/>
                <w:szCs w:val="22"/>
              </w:rPr>
            </w:pPr>
            <w:r>
              <w:rPr>
                <w:sz w:val="22"/>
              </w:rPr>
              <w:t>Συμβιβάζονται και απαλλάσσονται από την υποχρέωση κοινοποίησης, εάν πληρούνται οι γενικοί όροι συμβατότητας (Κεφάλαιο Ι) και οι όροι του παρόντος άρθρου (παράγραφος 1).</w:t>
            </w:r>
          </w:p>
          <w:p w:rsidR="00AE3359" w:rsidRPr="00AE3359" w:rsidRDefault="00AE3359" w:rsidP="009D0320">
            <w:pPr>
              <w:ind w:left="720"/>
              <w:jc w:val="both"/>
              <w:rPr>
                <w:sz w:val="22"/>
                <w:szCs w:val="22"/>
              </w:rPr>
            </w:pPr>
          </w:p>
        </w:tc>
        <w:tc>
          <w:tcPr>
            <w:tcW w:w="2313" w:type="pct"/>
            <w:shd w:val="clear" w:color="auto" w:fill="auto"/>
          </w:tcPr>
          <w:p w:rsidR="00AE3359" w:rsidRPr="00AE3359" w:rsidRDefault="00AE3359" w:rsidP="00AE3359">
            <w:pPr>
              <w:rPr>
                <w:sz w:val="22"/>
                <w:szCs w:val="22"/>
              </w:rPr>
            </w:pPr>
          </w:p>
        </w:tc>
      </w:tr>
      <w:tr w:rsidR="00AE3359" w:rsidRPr="001161D2" w:rsidTr="001161D2">
        <w:trPr>
          <w:trHeight w:val="383"/>
        </w:trPr>
        <w:tc>
          <w:tcPr>
            <w:tcW w:w="2687" w:type="pct"/>
            <w:shd w:val="clear" w:color="auto" w:fill="D9D9D9"/>
          </w:tcPr>
          <w:p w:rsidR="00AE3359" w:rsidRPr="001161D2" w:rsidRDefault="00AE3359" w:rsidP="001161D2">
            <w:pPr>
              <w:jc w:val="both"/>
              <w:rPr>
                <w:b/>
                <w:sz w:val="22"/>
                <w:szCs w:val="22"/>
              </w:rPr>
            </w:pPr>
            <w:r>
              <w:rPr>
                <w:b/>
                <w:sz w:val="22"/>
              </w:rPr>
              <w:t>Σκοπός των ενισχύσεων και είδος των σχετικών δραστηριοτήτων</w:t>
            </w:r>
          </w:p>
        </w:tc>
        <w:tc>
          <w:tcPr>
            <w:tcW w:w="2313" w:type="pct"/>
            <w:shd w:val="clear" w:color="auto" w:fill="D9D9D9"/>
          </w:tcPr>
          <w:p w:rsidR="00AE3359" w:rsidRPr="001161D2" w:rsidRDefault="00AE3359" w:rsidP="00AE3359">
            <w:pPr>
              <w:rPr>
                <w:b/>
                <w:sz w:val="22"/>
                <w:szCs w:val="22"/>
              </w:rPr>
            </w:pPr>
          </w:p>
        </w:tc>
      </w:tr>
      <w:tr w:rsidR="00AE3359" w:rsidRPr="001161D2" w:rsidTr="00895393">
        <w:trPr>
          <w:trHeight w:val="850"/>
        </w:trPr>
        <w:tc>
          <w:tcPr>
            <w:tcW w:w="2687" w:type="pct"/>
            <w:shd w:val="clear" w:color="auto" w:fill="auto"/>
          </w:tcPr>
          <w:p w:rsidR="00AE3359" w:rsidRPr="000F52B9" w:rsidRDefault="00AE3359" w:rsidP="00AE3359">
            <w:pPr>
              <w:numPr>
                <w:ilvl w:val="0"/>
                <w:numId w:val="8"/>
              </w:numPr>
              <w:jc w:val="both"/>
              <w:rPr>
                <w:sz w:val="22"/>
                <w:szCs w:val="22"/>
              </w:rPr>
            </w:pPr>
            <w:r>
              <w:rPr>
                <w:sz w:val="22"/>
              </w:rPr>
              <w:t xml:space="preserve">Οι ενισχύσεις χορηγούνται για τους </w:t>
            </w:r>
            <w:r>
              <w:rPr>
                <w:b/>
                <w:sz w:val="22"/>
              </w:rPr>
              <w:t>ακόλουθους πολιτιστικούς σκοπούς και δραστηριότητες</w:t>
            </w:r>
            <w:r>
              <w:rPr>
                <w:sz w:val="22"/>
              </w:rPr>
              <w:t xml:space="preserve"> (παράγραφος 2):</w:t>
            </w:r>
          </w:p>
          <w:p w:rsidR="00AE3359" w:rsidRPr="000F52B9" w:rsidRDefault="003A757F" w:rsidP="00FC2121">
            <w:pPr>
              <w:numPr>
                <w:ilvl w:val="0"/>
                <w:numId w:val="33"/>
              </w:numPr>
              <w:jc w:val="both"/>
              <w:rPr>
                <w:sz w:val="22"/>
                <w:szCs w:val="22"/>
              </w:rPr>
            </w:pPr>
            <w:r>
              <w:rPr>
                <w:sz w:val="22"/>
              </w:rPr>
              <w:t>μουσεία, αρχεία, βιβλιοθήκες, καλλιτεχνικά και πολιτιστικά κέντρα ή χώροι, θέατρα, κινηματογράφοι, λυρικές σκηνές, αίθουσες συναυλιών, άλλοι οργανισμοί στον τομέα του ζωντανού θεάματος, ιδρύματα κινηματογραφικής κληρονομιάς και άλλες παρόμοιες καλλιτεχνικές και πολιτιστικές υποδομές, οργανώσεις και ιδρύματα·</w:t>
            </w:r>
          </w:p>
          <w:p w:rsidR="00AE3359" w:rsidRPr="000F52B9" w:rsidRDefault="00AE3359" w:rsidP="00FC2121">
            <w:pPr>
              <w:numPr>
                <w:ilvl w:val="0"/>
                <w:numId w:val="33"/>
              </w:numPr>
              <w:jc w:val="both"/>
              <w:rPr>
                <w:sz w:val="22"/>
                <w:szCs w:val="22"/>
              </w:rPr>
            </w:pPr>
            <w:r>
              <w:rPr>
                <w:sz w:val="22"/>
              </w:rPr>
              <w:t>υλική κληρονομιά, συμπεριλαμβανομένων όλων των μορφών της πολιτιστικής κληρονομιάς, κινητής ή ακίνητης, των αρχαιολογικών χώρων, των μνημείων, των ιστορικών χώρων και κτιρίων· φυσική κληρονομιά που συνδέεται με την πολιτιστική κληρονομιά ή αναγνωρίζεται επισήμως ως πολιτιστική ή φυσική κληρονομιά από τις αρμόδιες δημόσιες αρχές κράτους μέλους·</w:t>
            </w:r>
          </w:p>
          <w:p w:rsidR="00AE3359" w:rsidRPr="000F52B9" w:rsidRDefault="00AE3359" w:rsidP="00FC2121">
            <w:pPr>
              <w:numPr>
                <w:ilvl w:val="0"/>
                <w:numId w:val="33"/>
              </w:numPr>
              <w:jc w:val="both"/>
              <w:rPr>
                <w:sz w:val="22"/>
                <w:szCs w:val="22"/>
              </w:rPr>
            </w:pPr>
            <w:r>
              <w:rPr>
                <w:sz w:val="22"/>
              </w:rPr>
              <w:t>άυλη κληρονομιά οποιασδήποτε μορφής, συμπεριλαμβανομένων των εθίμων και της χειροτεχνίας της λαϊκής παράδοσης·</w:t>
            </w:r>
          </w:p>
          <w:p w:rsidR="00AE3359" w:rsidRPr="000F52B9" w:rsidRDefault="00AE3359" w:rsidP="00FC2121">
            <w:pPr>
              <w:numPr>
                <w:ilvl w:val="0"/>
                <w:numId w:val="33"/>
              </w:numPr>
              <w:jc w:val="both"/>
              <w:rPr>
                <w:sz w:val="22"/>
                <w:szCs w:val="22"/>
              </w:rPr>
            </w:pPr>
            <w:r>
              <w:rPr>
                <w:sz w:val="22"/>
              </w:rPr>
              <w:t>καλλιτεχνικές ή πολιτιστικές εκδηλώσεις και παραστάσεις, φεστιβάλ, εκθέσεις και άλλες παρόμοιες πολιτιστικές δραστηριότητες·</w:t>
            </w:r>
          </w:p>
          <w:p w:rsidR="00AE3359" w:rsidRPr="000F52B9" w:rsidRDefault="00AE3359" w:rsidP="00FC2121">
            <w:pPr>
              <w:numPr>
                <w:ilvl w:val="0"/>
                <w:numId w:val="33"/>
              </w:numPr>
              <w:jc w:val="both"/>
              <w:rPr>
                <w:sz w:val="22"/>
                <w:szCs w:val="22"/>
              </w:rPr>
            </w:pPr>
            <w:r>
              <w:rPr>
                <w:sz w:val="22"/>
              </w:rPr>
              <w:t>πολιτιστικές και καλλιτεχνικές εκπαιδευτικές δραστηριότητες, καθώς και προώθηση της κατανόησης της σημασίας που έχει η προστασία και η προώθηση της πολυμορφίας της πολιτιστικής έκφρασης μέσω προγραμμάτων εκπαίδευσης και αυξημένης ευαισθητοποίησης του κοινού, μεταξύ άλλων με τη χρήση των νέων τεχνολογιών·</w:t>
            </w:r>
          </w:p>
          <w:p w:rsidR="00AE3359" w:rsidRPr="006C6F59" w:rsidRDefault="00AE3359" w:rsidP="00FC2121">
            <w:pPr>
              <w:numPr>
                <w:ilvl w:val="0"/>
                <w:numId w:val="33"/>
              </w:numPr>
              <w:jc w:val="both"/>
              <w:rPr>
                <w:sz w:val="22"/>
                <w:szCs w:val="22"/>
              </w:rPr>
            </w:pPr>
            <w:r>
              <w:rPr>
                <w:sz w:val="22"/>
              </w:rPr>
              <w:t>σύνταξη ή σύνθεση, επεξεργασία, παραγωγή, διανομή, ψηφιοποίηση και έκδοση μουσικών και λογοτεχνικών έργων, συμπεριλαμβανομένων των μεταφράσεων.</w:t>
            </w:r>
          </w:p>
        </w:tc>
        <w:tc>
          <w:tcPr>
            <w:tcW w:w="2313" w:type="pct"/>
            <w:shd w:val="clear" w:color="auto" w:fill="auto"/>
          </w:tcPr>
          <w:p w:rsidR="00AE3359" w:rsidRPr="00AE3359" w:rsidRDefault="00AE3359" w:rsidP="00AE3359">
            <w:pPr>
              <w:rPr>
                <w:sz w:val="22"/>
                <w:szCs w:val="22"/>
              </w:rPr>
            </w:pPr>
          </w:p>
        </w:tc>
      </w:tr>
      <w:tr w:rsidR="00AE3359" w:rsidRPr="001161D2" w:rsidTr="001161D2">
        <w:trPr>
          <w:trHeight w:val="142"/>
        </w:trPr>
        <w:tc>
          <w:tcPr>
            <w:tcW w:w="2687" w:type="pct"/>
            <w:shd w:val="clear" w:color="auto" w:fill="D9D9D9"/>
          </w:tcPr>
          <w:p w:rsidR="00AE3359" w:rsidRPr="001161D2" w:rsidRDefault="00AE3359" w:rsidP="001161D2">
            <w:pPr>
              <w:jc w:val="both"/>
              <w:rPr>
                <w:b/>
                <w:sz w:val="22"/>
                <w:szCs w:val="22"/>
              </w:rPr>
            </w:pPr>
            <w:r>
              <w:rPr>
                <w:b/>
                <w:sz w:val="22"/>
              </w:rPr>
              <w:t>Μορφή της ενίσχυσης</w:t>
            </w:r>
          </w:p>
        </w:tc>
        <w:tc>
          <w:tcPr>
            <w:tcW w:w="2313" w:type="pct"/>
            <w:shd w:val="clear" w:color="auto" w:fill="D9D9D9"/>
          </w:tcPr>
          <w:p w:rsidR="00AE3359" w:rsidRPr="001161D2" w:rsidRDefault="00AE3359" w:rsidP="00AE3359">
            <w:pPr>
              <w:rPr>
                <w:b/>
                <w:sz w:val="22"/>
                <w:szCs w:val="22"/>
              </w:rPr>
            </w:pPr>
          </w:p>
        </w:tc>
      </w:tr>
      <w:tr w:rsidR="00AE3359" w:rsidRPr="001161D2" w:rsidTr="00895393">
        <w:trPr>
          <w:trHeight w:val="850"/>
        </w:trPr>
        <w:tc>
          <w:tcPr>
            <w:tcW w:w="2687" w:type="pct"/>
            <w:shd w:val="clear" w:color="auto" w:fill="auto"/>
          </w:tcPr>
          <w:p w:rsidR="00AE3359" w:rsidRPr="000F52B9" w:rsidRDefault="00AE3359" w:rsidP="00AE3359">
            <w:pPr>
              <w:numPr>
                <w:ilvl w:val="0"/>
                <w:numId w:val="8"/>
              </w:numPr>
              <w:rPr>
                <w:sz w:val="22"/>
                <w:szCs w:val="22"/>
              </w:rPr>
            </w:pPr>
            <w:r>
              <w:rPr>
                <w:sz w:val="22"/>
              </w:rPr>
              <w:lastRenderedPageBreak/>
              <w:t xml:space="preserve">Οι ενισχύσεις μπορούν να λάβουν τη </w:t>
            </w:r>
            <w:r>
              <w:rPr>
                <w:b/>
                <w:sz w:val="22"/>
              </w:rPr>
              <w:t>μορφή</w:t>
            </w:r>
            <w:r>
              <w:rPr>
                <w:sz w:val="22"/>
              </w:rPr>
              <w:t xml:space="preserve"> (παράγραφος 3):</w:t>
            </w:r>
          </w:p>
          <w:p w:rsidR="00AE3359" w:rsidRPr="000F52B9" w:rsidRDefault="00AE3359" w:rsidP="00FC2121">
            <w:pPr>
              <w:numPr>
                <w:ilvl w:val="0"/>
                <w:numId w:val="34"/>
              </w:numPr>
              <w:rPr>
                <w:sz w:val="22"/>
                <w:szCs w:val="22"/>
              </w:rPr>
            </w:pPr>
            <w:r>
              <w:rPr>
                <w:sz w:val="22"/>
              </w:rPr>
              <w:t>επενδυτικών ενισχύσεων, συμπεριλαμβανομένων των ενισχύσεων για την κατασκευή ή την αναβάθμιση της πολιτιστικής υποδομής·</w:t>
            </w:r>
          </w:p>
          <w:p w:rsidR="00AE3359" w:rsidRPr="006C6F59" w:rsidRDefault="00AE3359" w:rsidP="00FC2121">
            <w:pPr>
              <w:numPr>
                <w:ilvl w:val="0"/>
                <w:numId w:val="34"/>
              </w:numPr>
              <w:rPr>
                <w:sz w:val="22"/>
                <w:szCs w:val="22"/>
              </w:rPr>
            </w:pPr>
            <w:r>
              <w:rPr>
                <w:sz w:val="22"/>
              </w:rPr>
              <w:t>ενισχύσεων λειτουργίας.</w:t>
            </w:r>
          </w:p>
        </w:tc>
        <w:tc>
          <w:tcPr>
            <w:tcW w:w="2313" w:type="pct"/>
            <w:shd w:val="clear" w:color="auto" w:fill="auto"/>
          </w:tcPr>
          <w:p w:rsidR="00AE3359" w:rsidRPr="00AE3359" w:rsidRDefault="00AE3359" w:rsidP="00AE3359">
            <w:pPr>
              <w:rPr>
                <w:sz w:val="22"/>
                <w:szCs w:val="22"/>
              </w:rPr>
            </w:pPr>
          </w:p>
        </w:tc>
      </w:tr>
      <w:tr w:rsidR="00AE3359" w:rsidRPr="001161D2" w:rsidTr="001161D2">
        <w:trPr>
          <w:trHeight w:val="372"/>
        </w:trPr>
        <w:tc>
          <w:tcPr>
            <w:tcW w:w="2687" w:type="pct"/>
            <w:shd w:val="clear" w:color="auto" w:fill="D9D9D9"/>
          </w:tcPr>
          <w:p w:rsidR="00AE3359" w:rsidRPr="001161D2" w:rsidRDefault="00AE3359" w:rsidP="001161D2">
            <w:pPr>
              <w:jc w:val="both"/>
              <w:rPr>
                <w:b/>
                <w:sz w:val="22"/>
                <w:szCs w:val="22"/>
              </w:rPr>
            </w:pPr>
            <w:r>
              <w:rPr>
                <w:b/>
                <w:sz w:val="22"/>
              </w:rPr>
              <w:t>Επιλέξιμες δαπάνες</w:t>
            </w:r>
          </w:p>
        </w:tc>
        <w:tc>
          <w:tcPr>
            <w:tcW w:w="2313" w:type="pct"/>
            <w:shd w:val="clear" w:color="auto" w:fill="D9D9D9"/>
          </w:tcPr>
          <w:p w:rsidR="00AE3359" w:rsidRPr="001161D2" w:rsidRDefault="00AE3359" w:rsidP="00AE3359">
            <w:pPr>
              <w:rPr>
                <w:b/>
                <w:sz w:val="22"/>
                <w:szCs w:val="22"/>
              </w:rPr>
            </w:pPr>
          </w:p>
        </w:tc>
      </w:tr>
      <w:tr w:rsidR="00AE3359" w:rsidRPr="001161D2" w:rsidTr="00895393">
        <w:trPr>
          <w:trHeight w:val="850"/>
        </w:trPr>
        <w:tc>
          <w:tcPr>
            <w:tcW w:w="2687" w:type="pct"/>
            <w:shd w:val="clear" w:color="auto" w:fill="auto"/>
          </w:tcPr>
          <w:p w:rsidR="00AE3359" w:rsidRPr="000F52B9" w:rsidRDefault="00AE3359" w:rsidP="00AE3359">
            <w:pPr>
              <w:numPr>
                <w:ilvl w:val="0"/>
                <w:numId w:val="8"/>
              </w:numPr>
              <w:rPr>
                <w:sz w:val="22"/>
                <w:szCs w:val="22"/>
              </w:rPr>
            </w:pPr>
            <w:r>
              <w:rPr>
                <w:b/>
                <w:sz w:val="22"/>
              </w:rPr>
              <w:t>Για τις επενδυτικές ενισχύσεις, οι επιλέξιμες δαπάνες</w:t>
            </w:r>
            <w:r>
              <w:t xml:space="preserve"> συνίστανται στο επενδυτικό κόστος σε ενσώματα και άυλα στοιχεία ενεργητικού, μεταξύ των οποίων περιλαμβάνονται (παράγραφος 4):</w:t>
            </w:r>
          </w:p>
          <w:p w:rsidR="00AE3359" w:rsidRPr="000F52B9" w:rsidRDefault="00AE3359" w:rsidP="00FC2121">
            <w:pPr>
              <w:numPr>
                <w:ilvl w:val="0"/>
                <w:numId w:val="35"/>
              </w:numPr>
              <w:jc w:val="both"/>
              <w:rPr>
                <w:sz w:val="22"/>
                <w:szCs w:val="22"/>
              </w:rPr>
            </w:pPr>
            <w:r>
              <w:rPr>
                <w:sz w:val="22"/>
              </w:rPr>
              <w:t>οι δαπάνες για την κατασκευή, την αναβάθμιση, την απόκτηση, τη συντήρηση ή τη βελτίωση των υποδομών, εφόσον χρησιμοποιούνται κατά το 80 % τουλάχιστον της δυναμικότητάς τους ετησίως, τόσο σε χρόνο όσο και σε χώρο, για πολιτιστικούς σκοπούς·</w:t>
            </w:r>
          </w:p>
          <w:p w:rsidR="00AE3359" w:rsidRPr="000F52B9" w:rsidRDefault="00AE3359" w:rsidP="00FC2121">
            <w:pPr>
              <w:numPr>
                <w:ilvl w:val="0"/>
                <w:numId w:val="35"/>
              </w:numPr>
              <w:jc w:val="both"/>
              <w:rPr>
                <w:sz w:val="22"/>
                <w:szCs w:val="22"/>
              </w:rPr>
            </w:pPr>
            <w:r>
              <w:rPr>
                <w:sz w:val="22"/>
              </w:rPr>
              <w:t>οι δαπάνες απόκτησης, συμπεριλαμβανομένης της χρηματοδοτικής μίσθωσης, μεταβίβασης ιδιοκτησίας ή υλικής μετεγκατάστασης της πολιτιστικής κληρονομιάς·</w:t>
            </w:r>
          </w:p>
          <w:p w:rsidR="00AE3359" w:rsidRPr="000F52B9" w:rsidRDefault="00AE3359" w:rsidP="00FC2121">
            <w:pPr>
              <w:numPr>
                <w:ilvl w:val="0"/>
                <w:numId w:val="35"/>
              </w:numPr>
              <w:jc w:val="both"/>
              <w:rPr>
                <w:sz w:val="22"/>
                <w:szCs w:val="22"/>
              </w:rPr>
            </w:pPr>
            <w:r>
              <w:rPr>
                <w:sz w:val="22"/>
              </w:rPr>
              <w:t>οι δαπάνες για την προστασία, τη διατήρηση, την αποκατάσταση και την ανάπλαση της υλικής και άυλης πολιτιστικής κληρονομιάς, συμπεριλαμβανομένου του επιπλέον κόστους αποθήκευσης υπό κατάλληλες συνθήκες, ειδικών εργαλείων και υλικών, καθώς και οι δαπάνες για τεκμηρίωση, έρευνα, ψηφιοποίηση και δημοσίευση·</w:t>
            </w:r>
          </w:p>
          <w:p w:rsidR="00AE3359" w:rsidRPr="000F52B9" w:rsidRDefault="00AE3359" w:rsidP="00FC2121">
            <w:pPr>
              <w:numPr>
                <w:ilvl w:val="0"/>
                <w:numId w:val="35"/>
              </w:numPr>
              <w:jc w:val="both"/>
              <w:rPr>
                <w:sz w:val="22"/>
                <w:szCs w:val="22"/>
              </w:rPr>
            </w:pPr>
            <w:r>
              <w:rPr>
                <w:sz w:val="22"/>
              </w:rPr>
              <w:t>οι δαπάνες για τη βελτίωση της δυνατότητας πρόσβασης του κοινού στην πολιτιστική κληρονομιά, συμπεριλαμβανομένων των δαπανών για ψηφιοποίηση και άλλες νέες τεχνολογίες, οι δαπάνες για τη βελτίωση της προσπελασιμότητας για τα άτομα με ειδικές ανάγκες (ιδίως, ράμπες και ανελκυστήρες για τα άτομα με αναπηρία, ενδείξεις σε γραφή Braille και διαδραστικές εκθέσεις σε μουσεία), και για την προαγωγή της πολιτιστικής πολυμορφίας όσον αφορά τις παραστάσεις, τα προγράμματα και τους επισκέπτες·</w:t>
            </w:r>
          </w:p>
          <w:p w:rsidR="00AE3359" w:rsidRPr="000F52B9" w:rsidRDefault="00AE3359" w:rsidP="00FC2121">
            <w:pPr>
              <w:numPr>
                <w:ilvl w:val="0"/>
                <w:numId w:val="35"/>
              </w:numPr>
              <w:jc w:val="both"/>
              <w:rPr>
                <w:sz w:val="22"/>
                <w:szCs w:val="22"/>
              </w:rPr>
            </w:pPr>
            <w:r>
              <w:rPr>
                <w:sz w:val="22"/>
              </w:rPr>
              <w:t>δαπανών για πολιτιστικά προγράμματα και δραστηριότητες, συνεργασία και προγράμματα ανταλλαγών και επιχορηγήσεις συμπεριλαμβανομένου των δαπανών των διαδικασιών επιλογής, των δαπανών για την προώθηση και των δαπανών που προκύπτουν άμεσα από το σχέδιο.</w:t>
            </w:r>
          </w:p>
          <w:p w:rsidR="00AE3359" w:rsidRPr="000F52B9" w:rsidRDefault="00AE3359" w:rsidP="00AE3359">
            <w:pPr>
              <w:numPr>
                <w:ilvl w:val="0"/>
                <w:numId w:val="8"/>
              </w:numPr>
              <w:rPr>
                <w:sz w:val="22"/>
                <w:szCs w:val="22"/>
              </w:rPr>
            </w:pPr>
            <w:r>
              <w:rPr>
                <w:b/>
                <w:sz w:val="22"/>
              </w:rPr>
              <w:t>Για τις ενισχύσεις λειτουργίας, επιλέξιμες</w:t>
            </w:r>
            <w:r>
              <w:t xml:space="preserve"> είναι οι ακόλουθες δαπάνες (παράγραφος 5):</w:t>
            </w:r>
          </w:p>
          <w:p w:rsidR="00AE3359" w:rsidRPr="000F52B9" w:rsidRDefault="00AE3359" w:rsidP="00FC2121">
            <w:pPr>
              <w:numPr>
                <w:ilvl w:val="0"/>
                <w:numId w:val="36"/>
              </w:numPr>
              <w:jc w:val="both"/>
              <w:rPr>
                <w:sz w:val="22"/>
                <w:szCs w:val="22"/>
              </w:rPr>
            </w:pPr>
            <w:r>
              <w:rPr>
                <w:sz w:val="22"/>
              </w:rPr>
              <w:t xml:space="preserve">οι δαπάνες των πολιτιστικών ιδρυμάτων ή του χώρου πολιτιστικής κληρονομιάς που συνδέονται με διαρκείς ή περιοδικές δραστηριότητες, στις </w:t>
            </w:r>
            <w:r>
              <w:rPr>
                <w:sz w:val="22"/>
              </w:rPr>
              <w:lastRenderedPageBreak/>
              <w:t>οποίες περιλαμβάνονται εκθέσεις, παραστάσεις και εκδηλώσεις, καθώς και συναφείς πολιτιστικές δραστηριότητες που εντάσσονται στη συνήθη πορεία των εργασιών·</w:t>
            </w:r>
          </w:p>
          <w:p w:rsidR="00AE3359" w:rsidRPr="000F52B9" w:rsidRDefault="00AE3359" w:rsidP="00FC2121">
            <w:pPr>
              <w:numPr>
                <w:ilvl w:val="0"/>
                <w:numId w:val="36"/>
              </w:numPr>
              <w:jc w:val="both"/>
              <w:rPr>
                <w:sz w:val="22"/>
                <w:szCs w:val="22"/>
              </w:rPr>
            </w:pPr>
            <w:r>
              <w:rPr>
                <w:sz w:val="22"/>
              </w:rPr>
              <w:t>οι δαπάνες για πολιτιστικές και καλλιτεχνικές εκπαιδευτικές δραστηριότητες, καθώς και για προώθηση της κατανόησης της σημασίας που έχει η προστασία και η προώθηση της πολυμορφίας της πολιτιστικής έκφρασης μέσω προγραμμάτων εκπαίδευσης και αυξημένης ευαισθητοποίησης του κοινού, μεταξύ άλλων με τη χρήση των νέων τεχνολογιών·</w:t>
            </w:r>
          </w:p>
          <w:p w:rsidR="00AE3359" w:rsidRPr="000F52B9" w:rsidRDefault="00AE3359" w:rsidP="00FC2121">
            <w:pPr>
              <w:numPr>
                <w:ilvl w:val="0"/>
                <w:numId w:val="36"/>
              </w:numPr>
              <w:jc w:val="both"/>
              <w:rPr>
                <w:sz w:val="22"/>
                <w:szCs w:val="22"/>
              </w:rPr>
            </w:pPr>
            <w:r>
              <w:rPr>
                <w:sz w:val="22"/>
              </w:rPr>
              <w:t>οι δαπάνες για τη βελτίωση της πρόσβασης του κοινού στα πολιτιστικά ιδρύματα ή τους χώρους πολιτιστικής κληρονομιάς και στις δραστηριότητες, συμπεριλαμβανομένου του κόστους της ψηφιοποίησης και της χρήσης νέων τεχνολογιών, καθώς και οι δαπάνες για τη βελτίωση της προσπελασιμότητας για τα άτομα με αναπηρία·</w:t>
            </w:r>
          </w:p>
          <w:p w:rsidR="00AE3359" w:rsidRPr="000F52B9" w:rsidRDefault="00AE3359" w:rsidP="00FC2121">
            <w:pPr>
              <w:numPr>
                <w:ilvl w:val="0"/>
                <w:numId w:val="36"/>
              </w:numPr>
              <w:jc w:val="both"/>
              <w:rPr>
                <w:sz w:val="22"/>
                <w:szCs w:val="22"/>
              </w:rPr>
            </w:pPr>
            <w:r>
              <w:rPr>
                <w:sz w:val="22"/>
              </w:rPr>
              <w:t>οι δαπάνες λειτουργίας που συνδέονται άμεσα με το πολιτιστικό έργο ή δραστηριότητα, όπως η απλή ή χρηματοδοτική μίσθωση ακινήτων και χώρων πολιτιστικών εκδηλώσεων, τα έξοδα ταξιδίου, υλικά και προμήθειες που σχετίζονται άμεσα με το πολιτιστικό έργο ή τη δραστηριότητα, αρχιτεκτονικές δομές για εκθέσεις και θεατρικές σκηνές, δανεισμός, μίσθωση και απόσβεση εργαλείων, λογισμικού και εξοπλισμού, οι δαπάνες για τα δικαιώματα πρόσβασης σε έργα καλυπτόμενα από δικαιώματα πνευματικής ιδιοκτησίας και άλλα περιεχόμενα προστατευόμενα από δικαιώματα διανοητικής ιδιοκτησίας, οι δαπάνες προώθησης και οι δαπάνες που προκύπτουν άμεσα από το έργο ή τη δραστηριότητα· αποσβέσεις και έξοδα χρηματοδότησης είναι επιλέξιμα μόνον εάν δεν έχουν καλυφθεί από επενδυτική ενίσχυση·</w:t>
            </w:r>
          </w:p>
          <w:p w:rsidR="00AE3359" w:rsidRPr="000F52B9" w:rsidRDefault="00AE3359" w:rsidP="00FC2121">
            <w:pPr>
              <w:numPr>
                <w:ilvl w:val="0"/>
                <w:numId w:val="36"/>
              </w:numPr>
              <w:jc w:val="both"/>
              <w:rPr>
                <w:sz w:val="22"/>
                <w:szCs w:val="22"/>
              </w:rPr>
            </w:pPr>
            <w:r>
              <w:rPr>
                <w:sz w:val="22"/>
              </w:rPr>
              <w:t>οι δαπάνες για το προσωπικό που απασχολείται στο πολιτιστικό ίδρυμα, τον χώρο πολιτιστικής κληρονομιάς ή το έργο·</w:t>
            </w:r>
          </w:p>
          <w:p w:rsidR="00AE3359" w:rsidRPr="006C6F59" w:rsidRDefault="00AE3359" w:rsidP="00FC2121">
            <w:pPr>
              <w:numPr>
                <w:ilvl w:val="0"/>
                <w:numId w:val="36"/>
              </w:numPr>
              <w:jc w:val="both"/>
              <w:rPr>
                <w:sz w:val="22"/>
                <w:szCs w:val="22"/>
              </w:rPr>
            </w:pPr>
            <w:r>
              <w:rPr>
                <w:sz w:val="22"/>
              </w:rPr>
              <w:t>οι δαπάνες για συμβουλευτικές και υποστηρικτικές υπηρεσίες που παρέχονται από εξωτερικούς συμβούλους και παρόχους υπηρεσιών, οι οποίες προκύπτουν άμεσα από το έργο.</w:t>
            </w:r>
          </w:p>
        </w:tc>
        <w:tc>
          <w:tcPr>
            <w:tcW w:w="2313" w:type="pct"/>
            <w:shd w:val="clear" w:color="auto" w:fill="auto"/>
          </w:tcPr>
          <w:p w:rsidR="00AE3359" w:rsidRPr="00AE3359" w:rsidRDefault="00AE3359" w:rsidP="00AE3359">
            <w:pPr>
              <w:rPr>
                <w:sz w:val="22"/>
                <w:szCs w:val="22"/>
              </w:rPr>
            </w:pPr>
          </w:p>
        </w:tc>
      </w:tr>
      <w:tr w:rsidR="00AE3359" w:rsidRPr="001161D2" w:rsidTr="001161D2">
        <w:trPr>
          <w:trHeight w:val="117"/>
        </w:trPr>
        <w:tc>
          <w:tcPr>
            <w:tcW w:w="2687" w:type="pct"/>
            <w:shd w:val="clear" w:color="auto" w:fill="D9D9D9"/>
          </w:tcPr>
          <w:p w:rsidR="00AE3359" w:rsidRPr="001161D2" w:rsidRDefault="00AE3359" w:rsidP="001161D2">
            <w:pPr>
              <w:jc w:val="both"/>
              <w:rPr>
                <w:b/>
                <w:sz w:val="22"/>
                <w:szCs w:val="22"/>
              </w:rPr>
            </w:pPr>
            <w:r>
              <w:rPr>
                <w:b/>
                <w:sz w:val="22"/>
              </w:rPr>
              <w:lastRenderedPageBreak/>
              <w:t>Ανώτατα όρια ενισχύσεων</w:t>
            </w:r>
          </w:p>
        </w:tc>
        <w:tc>
          <w:tcPr>
            <w:tcW w:w="2313" w:type="pct"/>
            <w:shd w:val="clear" w:color="auto" w:fill="D9D9D9"/>
          </w:tcPr>
          <w:p w:rsidR="00AE3359" w:rsidRPr="001161D2" w:rsidRDefault="00AE3359" w:rsidP="00AE3359">
            <w:pPr>
              <w:rPr>
                <w:b/>
                <w:sz w:val="22"/>
                <w:szCs w:val="22"/>
              </w:rPr>
            </w:pPr>
          </w:p>
        </w:tc>
      </w:tr>
      <w:tr w:rsidR="00AE3359" w:rsidRPr="001161D2" w:rsidTr="00895393">
        <w:trPr>
          <w:trHeight w:val="850"/>
        </w:trPr>
        <w:tc>
          <w:tcPr>
            <w:tcW w:w="2687" w:type="pct"/>
            <w:shd w:val="clear" w:color="auto" w:fill="auto"/>
          </w:tcPr>
          <w:p w:rsidR="00AE3359" w:rsidRPr="000F52B9" w:rsidRDefault="00AE3359" w:rsidP="00AE3359">
            <w:pPr>
              <w:numPr>
                <w:ilvl w:val="0"/>
                <w:numId w:val="8"/>
              </w:numPr>
              <w:jc w:val="both"/>
              <w:rPr>
                <w:sz w:val="22"/>
                <w:szCs w:val="22"/>
              </w:rPr>
            </w:pPr>
            <w:r>
              <w:rPr>
                <w:b/>
                <w:sz w:val="22"/>
              </w:rPr>
              <w:t>Για τις επενδυτικές ενισχύσεις, το ποσό της ενίσχυσης δεν υπερβαίνει</w:t>
            </w:r>
            <w:r>
              <w:t xml:space="preserve"> τη διαφορά μεταξύ των επιλέξιμων δαπανών και του κέρδους εκμετάλλευσης της επένδυσης.</w:t>
            </w:r>
            <w:r>
              <w:rPr>
                <w:sz w:val="22"/>
              </w:rPr>
              <w:t xml:space="preserve"> Το κέρδος εκμετάλλευσης αφαιρείται από τις επιλέξιμες δαπάνες εκ των προτέρων, βάσει εύλογων προβλέψεων, ή μέσω μηχανισμού ανάκτησης. Ο φορέας εκμετάλλευσης της υποδομής επιτρέπεται να διατηρεί ένα εύλογο κέρδος </w:t>
            </w:r>
            <w:r>
              <w:rPr>
                <w:sz w:val="22"/>
              </w:rPr>
              <w:lastRenderedPageBreak/>
              <w:t>κατά τη διάρκεια της αντίστοιχης περιόδου (παράγραφος 6).</w:t>
            </w:r>
          </w:p>
          <w:p w:rsidR="00AE3359" w:rsidRPr="000F52B9" w:rsidRDefault="00AE3359" w:rsidP="00AE3359">
            <w:pPr>
              <w:numPr>
                <w:ilvl w:val="0"/>
                <w:numId w:val="8"/>
              </w:numPr>
              <w:jc w:val="both"/>
              <w:rPr>
                <w:sz w:val="22"/>
                <w:szCs w:val="22"/>
              </w:rPr>
            </w:pPr>
            <w:r>
              <w:rPr>
                <w:b/>
                <w:sz w:val="22"/>
              </w:rPr>
              <w:t>Για τις ενισχύσεις λειτουργίας, το ποσό της ενίσχυσης δεν υπερβαίνει</w:t>
            </w:r>
            <w:r>
              <w:t xml:space="preserve"> το ποσό που είναι απαραίτητο για την κάλυψη των ζημιών εκμετάλλευσης και ένα εύλογο κέρδος κατά τη σχετική περίοδο.</w:t>
            </w:r>
            <w:r>
              <w:rPr>
                <w:sz w:val="22"/>
              </w:rPr>
              <w:t xml:space="preserve"> Αυτό εξασφαλίζεται εκ των προτέρων, βάσει εύλογων προβλέψεων, ή μέσω μηχανισμού ανάκτησης (παράγραφος 7)·</w:t>
            </w:r>
          </w:p>
          <w:p w:rsidR="00AE3359" w:rsidRPr="000F52B9" w:rsidRDefault="003A757F" w:rsidP="00AE3359">
            <w:pPr>
              <w:numPr>
                <w:ilvl w:val="0"/>
                <w:numId w:val="8"/>
              </w:numPr>
              <w:jc w:val="both"/>
              <w:rPr>
                <w:sz w:val="22"/>
                <w:szCs w:val="22"/>
              </w:rPr>
            </w:pPr>
            <w:r>
              <w:rPr>
                <w:b/>
                <w:sz w:val="22"/>
              </w:rPr>
              <w:t>Για τις ενισχύσεις που δεν υπερβαίνουν τα 2 εκατ. EUR</w:t>
            </w:r>
            <w:r>
              <w:t>, το μέγιστο ποσό της ενίσχυσης μπορεί να καθοριστεί, αντί με τη μέθοδο που αναφέρεται στις παραγράφους 6 και 7, στο 80% των επιλέξιμων δαπανών (παράγραφος 8)·</w:t>
            </w:r>
          </w:p>
          <w:p w:rsidR="00AE3359" w:rsidRPr="000F52B9" w:rsidRDefault="00C26463" w:rsidP="00AE3359">
            <w:pPr>
              <w:numPr>
                <w:ilvl w:val="0"/>
                <w:numId w:val="8"/>
              </w:numPr>
              <w:jc w:val="both"/>
              <w:rPr>
                <w:sz w:val="22"/>
                <w:szCs w:val="22"/>
              </w:rPr>
            </w:pPr>
            <w:r>
              <w:rPr>
                <w:sz w:val="22"/>
              </w:rPr>
              <w:t xml:space="preserve">Για τις </w:t>
            </w:r>
            <w:r>
              <w:rPr>
                <w:b/>
                <w:sz w:val="22"/>
              </w:rPr>
              <w:t>δραστηριότητες που ορίζονται στην παράγραφο 2 στοιχείο στ)</w:t>
            </w:r>
            <w:r>
              <w:rPr>
                <w:sz w:val="22"/>
              </w:rPr>
              <w:t>, το μέγιστο ποσό της ενίσχυσης δεν υπερβαίνει είτε τη διαφορά μεταξύ των επιλέξιμων δαπανών και των προεξοφλημένων εσόδων του έργου είτε το 70 % των επιλέξιμων δαπανών. Τα έσοδα αφαιρούνται από τις επιλέξιμες δαπάνες εκ των προτέρων ή με μηχανισμό ανάκτησης. Επιλέξιμες είναι οι δαπάνες για την έκδοση μουσικών και λογοτεχνικών έργων, συμπεριλαμβανομένων των αμοιβών των δημιουργών (έξοδα πνευματικών δικαιωμάτων), των αμοιβών των μεταφραστών, των λοιπών εκδοτικών δαπανών (αναθεώρηση, διόρθωση, επιμέλεια), των εξόδων σχεδιασμού και προεκτύπωσης και των εξόδων εκτύπωσης ή ηλεκτρονικής έκδοσης (παράγραφος 9).</w:t>
            </w:r>
          </w:p>
          <w:p w:rsidR="00AE3359" w:rsidRPr="00AE3359" w:rsidRDefault="00AE3359" w:rsidP="00AE3359">
            <w:pPr>
              <w:numPr>
                <w:ilvl w:val="0"/>
                <w:numId w:val="8"/>
              </w:numPr>
              <w:jc w:val="both"/>
              <w:rPr>
                <w:sz w:val="22"/>
                <w:szCs w:val="22"/>
              </w:rPr>
            </w:pPr>
            <w:r>
              <w:rPr>
                <w:b/>
                <w:sz w:val="22"/>
              </w:rPr>
              <w:t>Οι ενισχύσεις προς τον Τύπο και τα περιοδικά</w:t>
            </w:r>
            <w:r>
              <w:t>, είτε εκδίδονται σε έντυπη είτε σε ηλεκτρονική μορφή, δεν είναι επιλέξιμες δυνάμει του παρόντος άρθρου (παράγραφος 10).</w:t>
            </w:r>
          </w:p>
        </w:tc>
        <w:tc>
          <w:tcPr>
            <w:tcW w:w="2313" w:type="pct"/>
            <w:shd w:val="clear" w:color="auto" w:fill="auto"/>
          </w:tcPr>
          <w:p w:rsidR="00AE3359" w:rsidRPr="00AE3359" w:rsidRDefault="00AE3359" w:rsidP="00AE3359">
            <w:pPr>
              <w:rPr>
                <w:sz w:val="22"/>
                <w:szCs w:val="22"/>
              </w:rPr>
            </w:pPr>
          </w:p>
        </w:tc>
      </w:tr>
    </w:tbl>
    <w:p w:rsidR="00AE37E6" w:rsidRDefault="00AE37E6" w:rsidP="006C6F59">
      <w:pPr>
        <w:rPr>
          <w:b/>
          <w:sz w:val="22"/>
          <w:szCs w:val="22"/>
          <w:u w:val="single"/>
        </w:rPr>
      </w:pPr>
    </w:p>
    <w:p w:rsidR="00AE37E6" w:rsidRDefault="00AE37E6" w:rsidP="006C6F59">
      <w:pPr>
        <w:rPr>
          <w:b/>
          <w:sz w:val="22"/>
          <w:szCs w:val="22"/>
          <w:u w:val="single"/>
        </w:rPr>
      </w:pPr>
    </w:p>
    <w:p w:rsidR="00AE37E6" w:rsidRPr="001161D2" w:rsidRDefault="00AE37E6" w:rsidP="006C6F59">
      <w:pPr>
        <w:rPr>
          <w:sz w:val="22"/>
          <w:szCs w:val="22"/>
        </w:rPr>
      </w:pPr>
    </w:p>
    <w:p w:rsidR="009F52DA" w:rsidRPr="001161D2" w:rsidRDefault="009F52DA" w:rsidP="006C6F59">
      <w:pPr>
        <w:rPr>
          <w:b/>
          <w:sz w:val="22"/>
          <w:szCs w:val="22"/>
          <w:u w:val="single"/>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gridCol w:w="7003"/>
      </w:tblGrid>
      <w:tr w:rsidR="00EC2132" w:rsidRPr="00E93688" w:rsidTr="007A1162">
        <w:tc>
          <w:tcPr>
            <w:tcW w:w="2602" w:type="pct"/>
            <w:shd w:val="clear" w:color="auto" w:fill="B8CCE4"/>
          </w:tcPr>
          <w:p w:rsidR="005A4C70" w:rsidRPr="00E93688" w:rsidRDefault="00FC2121" w:rsidP="001161D2">
            <w:pPr>
              <w:ind w:left="360"/>
              <w:jc w:val="center"/>
              <w:rPr>
                <w:b/>
                <w:smallCaps/>
                <w:sz w:val="22"/>
                <w:szCs w:val="22"/>
              </w:rPr>
            </w:pPr>
            <w:proofErr w:type="spellStart"/>
            <w:r>
              <w:rPr>
                <w:b/>
                <w:smallCaps/>
                <w:sz w:val="22"/>
              </w:rPr>
              <w:t>Α</w:t>
            </w:r>
            <w:r w:rsidR="005A4C70">
              <w:rPr>
                <w:b/>
                <w:smallCaps/>
                <w:sz w:val="22"/>
              </w:rPr>
              <w:t>ρθρο</w:t>
            </w:r>
            <w:proofErr w:type="spellEnd"/>
            <w:r w:rsidR="005A4C70">
              <w:rPr>
                <w:b/>
                <w:smallCaps/>
                <w:sz w:val="22"/>
              </w:rPr>
              <w:t xml:space="preserve"> 54</w:t>
            </w:r>
          </w:p>
          <w:p w:rsidR="00BB080C" w:rsidRPr="00EC2132" w:rsidRDefault="0007152F" w:rsidP="001161D2">
            <w:pPr>
              <w:ind w:left="360"/>
              <w:jc w:val="center"/>
              <w:rPr>
                <w:sz w:val="22"/>
                <w:szCs w:val="22"/>
              </w:rPr>
            </w:pPr>
            <w:r>
              <w:rPr>
                <w:b/>
                <w:smallCaps/>
                <w:sz w:val="22"/>
              </w:rPr>
              <w:t>Καθεστώτα ενισχύσεων για οπτικοακουστικά έργα</w:t>
            </w:r>
          </w:p>
        </w:tc>
        <w:tc>
          <w:tcPr>
            <w:tcW w:w="2398" w:type="pct"/>
            <w:shd w:val="clear" w:color="auto" w:fill="B8CCE4"/>
          </w:tcPr>
          <w:p w:rsidR="00BB080C" w:rsidRPr="00EC2132" w:rsidRDefault="00FC2121" w:rsidP="001161D2">
            <w:pPr>
              <w:jc w:val="center"/>
              <w:rPr>
                <w:sz w:val="22"/>
                <w:szCs w:val="22"/>
              </w:rPr>
            </w:pPr>
            <w:proofErr w:type="spellStart"/>
            <w:r>
              <w:rPr>
                <w:b/>
                <w:smallCaps/>
                <w:sz w:val="22"/>
              </w:rPr>
              <w:t>Ε</w:t>
            </w:r>
            <w:r w:rsidR="00BB080C">
              <w:rPr>
                <w:b/>
                <w:smallCaps/>
                <w:sz w:val="22"/>
              </w:rPr>
              <w:t>λεγχος</w:t>
            </w:r>
            <w:proofErr w:type="spellEnd"/>
            <w:r w:rsidR="00BB080C">
              <w:rPr>
                <w:b/>
                <w:smallCaps/>
                <w:sz w:val="22"/>
              </w:rPr>
              <w:t xml:space="preserve"> συμμόρφωσης (OK;)</w:t>
            </w:r>
          </w:p>
        </w:tc>
      </w:tr>
      <w:tr w:rsidR="002A54A1" w:rsidRPr="001161D2" w:rsidTr="00895393">
        <w:tc>
          <w:tcPr>
            <w:tcW w:w="2602" w:type="pct"/>
            <w:shd w:val="clear" w:color="auto" w:fill="auto"/>
          </w:tcPr>
          <w:p w:rsidR="002A54A1" w:rsidRPr="006C6F59" w:rsidRDefault="002A54A1" w:rsidP="002A54A1">
            <w:pPr>
              <w:jc w:val="both"/>
              <w:rPr>
                <w:sz w:val="22"/>
                <w:szCs w:val="22"/>
              </w:rPr>
            </w:pPr>
            <w:r>
              <w:rPr>
                <w:sz w:val="22"/>
              </w:rPr>
              <w:t>Συμβιβάζονται και απαλλάσσονται από την υποχρέωση κοινοποίησης, εάν πληρούνται οι γενικοί όροι συμβατότητας και οι όροι του παρόντος άρθρου (παράγραφος 1)</w:t>
            </w:r>
          </w:p>
        </w:tc>
        <w:tc>
          <w:tcPr>
            <w:tcW w:w="2398" w:type="pct"/>
            <w:shd w:val="clear" w:color="auto" w:fill="auto"/>
          </w:tcPr>
          <w:p w:rsidR="002A54A1" w:rsidRPr="006C6F59" w:rsidRDefault="002A54A1" w:rsidP="00AE3359">
            <w:pPr>
              <w:rPr>
                <w:sz w:val="22"/>
                <w:szCs w:val="22"/>
              </w:rPr>
            </w:pPr>
          </w:p>
        </w:tc>
      </w:tr>
      <w:tr w:rsidR="002A54A1" w:rsidRPr="001161D2" w:rsidTr="001161D2">
        <w:tc>
          <w:tcPr>
            <w:tcW w:w="2602" w:type="pct"/>
            <w:shd w:val="clear" w:color="auto" w:fill="D9D9D9"/>
          </w:tcPr>
          <w:p w:rsidR="002A54A1" w:rsidRPr="001161D2" w:rsidRDefault="002A54A1" w:rsidP="002A54A1">
            <w:pPr>
              <w:jc w:val="both"/>
              <w:rPr>
                <w:b/>
                <w:sz w:val="22"/>
                <w:szCs w:val="22"/>
              </w:rPr>
            </w:pPr>
            <w:r>
              <w:rPr>
                <w:b/>
                <w:sz w:val="22"/>
              </w:rPr>
              <w:t>Επιδοτούμενα προϊόντα</w:t>
            </w:r>
          </w:p>
        </w:tc>
        <w:tc>
          <w:tcPr>
            <w:tcW w:w="2398" w:type="pct"/>
            <w:shd w:val="clear" w:color="auto" w:fill="D9D9D9"/>
          </w:tcPr>
          <w:p w:rsidR="002A54A1" w:rsidRPr="001161D2" w:rsidRDefault="002A54A1" w:rsidP="00AE3359">
            <w:pPr>
              <w:rPr>
                <w:b/>
                <w:sz w:val="22"/>
                <w:szCs w:val="22"/>
              </w:rPr>
            </w:pPr>
          </w:p>
        </w:tc>
      </w:tr>
      <w:tr w:rsidR="002A54A1" w:rsidRPr="001161D2" w:rsidTr="00895393">
        <w:tc>
          <w:tcPr>
            <w:tcW w:w="2602" w:type="pct"/>
            <w:shd w:val="clear" w:color="auto" w:fill="auto"/>
          </w:tcPr>
          <w:p w:rsidR="002A54A1" w:rsidRPr="009F0F16" w:rsidRDefault="002A54A1" w:rsidP="002A54A1">
            <w:pPr>
              <w:numPr>
                <w:ilvl w:val="0"/>
                <w:numId w:val="9"/>
              </w:numPr>
              <w:jc w:val="both"/>
              <w:rPr>
                <w:sz w:val="22"/>
                <w:szCs w:val="22"/>
              </w:rPr>
            </w:pPr>
            <w:r>
              <w:rPr>
                <w:b/>
                <w:sz w:val="22"/>
              </w:rPr>
              <w:t>Οι ενισχύσεις στηρίζουν ένα πολιτιστικό προϊόν</w:t>
            </w:r>
            <w:r>
              <w:t>.</w:t>
            </w:r>
            <w:r>
              <w:rPr>
                <w:sz w:val="22"/>
              </w:rPr>
              <w:t xml:space="preserve"> Για την αποφυγή πρόδηλων σφαλμάτων στον χαρακτηρισμό ενός προϊόντος ως πολιτιστικού, κάθε κράτος μέλος θεσπίζει αποτελεσματικές διαδικασίες, όπως είναι η </w:t>
            </w:r>
            <w:r>
              <w:rPr>
                <w:sz w:val="22"/>
              </w:rPr>
              <w:lastRenderedPageBreak/>
              <w:t>επιλογή των προτάσεων από ένα ή περισσότερα πρόσωπα επιφορτισμένα με την επιλογή ή την επαλήθευση βάσει προκαθορισμένου καταλόγου πολιτιστικών κριτηρίων (παράγραφος 2).</w:t>
            </w:r>
          </w:p>
          <w:p w:rsidR="002A54A1" w:rsidRPr="001161D2" w:rsidRDefault="002A54A1" w:rsidP="001161D2">
            <w:pPr>
              <w:numPr>
                <w:ilvl w:val="0"/>
                <w:numId w:val="9"/>
              </w:numPr>
              <w:autoSpaceDE w:val="0"/>
              <w:autoSpaceDN w:val="0"/>
              <w:adjustRightInd w:val="0"/>
              <w:jc w:val="both"/>
              <w:rPr>
                <w:sz w:val="22"/>
                <w:szCs w:val="22"/>
              </w:rPr>
            </w:pPr>
            <w:r>
              <w:rPr>
                <w:sz w:val="22"/>
              </w:rPr>
              <w:t xml:space="preserve">Οι ενισχύσεις </w:t>
            </w:r>
            <w:r>
              <w:rPr>
                <w:b/>
                <w:sz w:val="22"/>
              </w:rPr>
              <w:t>δεν προορίζονται αποκλειστικά για συγκεκριμένες δραστηριότητες παραγωγής ούτε για επιμέρους τμήματα της αξιακής αλυσίδας της παραγωγής</w:t>
            </w:r>
            <w:r>
              <w:rPr>
                <w:sz w:val="22"/>
              </w:rPr>
              <w:t>. Οι ενισχύσεις για υποδομές κινηματογραφικών στούντιο δεν είναι επιλέξιμες δυνάμει του παρόντος άρθρου (παράγραφος 9).</w:t>
            </w:r>
          </w:p>
        </w:tc>
        <w:tc>
          <w:tcPr>
            <w:tcW w:w="2398" w:type="pct"/>
            <w:shd w:val="clear" w:color="auto" w:fill="auto"/>
          </w:tcPr>
          <w:p w:rsidR="002A54A1" w:rsidRPr="001161D2" w:rsidRDefault="002A54A1" w:rsidP="00AE3359">
            <w:pPr>
              <w:rPr>
                <w:sz w:val="22"/>
                <w:szCs w:val="22"/>
              </w:rPr>
            </w:pPr>
          </w:p>
        </w:tc>
      </w:tr>
      <w:tr w:rsidR="002A54A1" w:rsidRPr="001161D2" w:rsidTr="001161D2">
        <w:tc>
          <w:tcPr>
            <w:tcW w:w="2602" w:type="pct"/>
            <w:shd w:val="clear" w:color="auto" w:fill="D9D9D9"/>
          </w:tcPr>
          <w:p w:rsidR="002A54A1" w:rsidRPr="001161D2" w:rsidRDefault="002A54A1" w:rsidP="002A54A1">
            <w:pPr>
              <w:jc w:val="both"/>
              <w:rPr>
                <w:b/>
                <w:sz w:val="22"/>
                <w:szCs w:val="22"/>
              </w:rPr>
            </w:pPr>
            <w:r>
              <w:rPr>
                <w:b/>
                <w:sz w:val="22"/>
              </w:rPr>
              <w:lastRenderedPageBreak/>
              <w:t>Μορφή των ενισχύσεων</w:t>
            </w:r>
          </w:p>
        </w:tc>
        <w:tc>
          <w:tcPr>
            <w:tcW w:w="2398" w:type="pct"/>
            <w:shd w:val="clear" w:color="auto" w:fill="D9D9D9"/>
          </w:tcPr>
          <w:p w:rsidR="002A54A1" w:rsidRPr="001161D2" w:rsidRDefault="002A54A1" w:rsidP="00AE3359">
            <w:pPr>
              <w:rPr>
                <w:b/>
                <w:sz w:val="22"/>
                <w:szCs w:val="22"/>
              </w:rPr>
            </w:pPr>
          </w:p>
        </w:tc>
      </w:tr>
      <w:tr w:rsidR="002A54A1" w:rsidRPr="001161D2" w:rsidTr="00895393">
        <w:tc>
          <w:tcPr>
            <w:tcW w:w="2602" w:type="pct"/>
            <w:shd w:val="clear" w:color="auto" w:fill="auto"/>
          </w:tcPr>
          <w:p w:rsidR="002A54A1" w:rsidRPr="00965D83" w:rsidRDefault="002A54A1" w:rsidP="002A54A1">
            <w:pPr>
              <w:numPr>
                <w:ilvl w:val="0"/>
                <w:numId w:val="10"/>
              </w:numPr>
              <w:jc w:val="both"/>
              <w:rPr>
                <w:sz w:val="22"/>
                <w:szCs w:val="22"/>
              </w:rPr>
            </w:pPr>
            <w:r>
              <w:rPr>
                <w:sz w:val="22"/>
              </w:rPr>
              <w:t xml:space="preserve">Οι ενισχύσεις μπορούν να λάβουν τις ακόλουθες </w:t>
            </w:r>
            <w:r>
              <w:rPr>
                <w:b/>
                <w:sz w:val="22"/>
              </w:rPr>
              <w:t>μορφές</w:t>
            </w:r>
            <w:r>
              <w:rPr>
                <w:sz w:val="22"/>
              </w:rPr>
              <w:t xml:space="preserve"> (παράγραφος 3):</w:t>
            </w:r>
          </w:p>
          <w:p w:rsidR="002A54A1" w:rsidRPr="00965D83" w:rsidRDefault="002A54A1" w:rsidP="00FC2121">
            <w:pPr>
              <w:numPr>
                <w:ilvl w:val="0"/>
                <w:numId w:val="37"/>
              </w:numPr>
              <w:jc w:val="both"/>
              <w:rPr>
                <w:sz w:val="22"/>
                <w:szCs w:val="22"/>
              </w:rPr>
            </w:pPr>
            <w:r>
              <w:rPr>
                <w:sz w:val="22"/>
              </w:rPr>
              <w:t>ενισχύσεις για την παραγωγή οπτικοακουστικών έργων·</w:t>
            </w:r>
          </w:p>
          <w:p w:rsidR="002A54A1" w:rsidRPr="00965D83" w:rsidRDefault="002A54A1" w:rsidP="00FC2121">
            <w:pPr>
              <w:numPr>
                <w:ilvl w:val="0"/>
                <w:numId w:val="37"/>
              </w:numPr>
              <w:jc w:val="both"/>
              <w:rPr>
                <w:sz w:val="22"/>
                <w:szCs w:val="22"/>
              </w:rPr>
            </w:pPr>
            <w:r>
              <w:rPr>
                <w:sz w:val="22"/>
              </w:rPr>
              <w:t xml:space="preserve">ενισχύσεις για το στάδιο προ της παραγωγής· </w:t>
            </w:r>
          </w:p>
          <w:p w:rsidR="002A54A1" w:rsidRPr="006C6F59" w:rsidRDefault="002A54A1" w:rsidP="00FC2121">
            <w:pPr>
              <w:numPr>
                <w:ilvl w:val="0"/>
                <w:numId w:val="37"/>
              </w:numPr>
              <w:jc w:val="both"/>
              <w:rPr>
                <w:sz w:val="22"/>
                <w:szCs w:val="22"/>
              </w:rPr>
            </w:pPr>
            <w:r>
              <w:rPr>
                <w:sz w:val="22"/>
              </w:rPr>
              <w:t>ενισχύσεις διανομής.</w:t>
            </w:r>
          </w:p>
        </w:tc>
        <w:tc>
          <w:tcPr>
            <w:tcW w:w="2398" w:type="pct"/>
            <w:shd w:val="clear" w:color="auto" w:fill="auto"/>
          </w:tcPr>
          <w:p w:rsidR="002A54A1" w:rsidRPr="006C6F59" w:rsidRDefault="002A54A1" w:rsidP="00AE3359">
            <w:pPr>
              <w:rPr>
                <w:sz w:val="22"/>
                <w:szCs w:val="22"/>
              </w:rPr>
            </w:pPr>
          </w:p>
        </w:tc>
      </w:tr>
      <w:tr w:rsidR="002A54A1" w:rsidRPr="001161D2" w:rsidTr="001161D2">
        <w:tc>
          <w:tcPr>
            <w:tcW w:w="2602" w:type="pct"/>
            <w:shd w:val="clear" w:color="auto" w:fill="D9D9D9"/>
          </w:tcPr>
          <w:p w:rsidR="002A54A1" w:rsidRPr="001161D2" w:rsidRDefault="002A54A1" w:rsidP="002A54A1">
            <w:pPr>
              <w:jc w:val="both"/>
              <w:rPr>
                <w:b/>
                <w:sz w:val="22"/>
                <w:szCs w:val="22"/>
              </w:rPr>
            </w:pPr>
            <w:r>
              <w:rPr>
                <w:b/>
                <w:sz w:val="22"/>
              </w:rPr>
              <w:t>Συμμόρφωση με τους κανόνες της εσωτερικής αγοράς</w:t>
            </w:r>
          </w:p>
        </w:tc>
        <w:tc>
          <w:tcPr>
            <w:tcW w:w="2398" w:type="pct"/>
            <w:shd w:val="clear" w:color="auto" w:fill="D9D9D9"/>
          </w:tcPr>
          <w:p w:rsidR="002A54A1" w:rsidRPr="001161D2" w:rsidRDefault="002A54A1" w:rsidP="00AE3359">
            <w:pPr>
              <w:rPr>
                <w:b/>
                <w:sz w:val="22"/>
                <w:szCs w:val="22"/>
              </w:rPr>
            </w:pPr>
          </w:p>
        </w:tc>
      </w:tr>
      <w:tr w:rsidR="002A54A1" w:rsidRPr="001161D2" w:rsidTr="00895393">
        <w:tc>
          <w:tcPr>
            <w:tcW w:w="2602" w:type="pct"/>
            <w:shd w:val="clear" w:color="auto" w:fill="auto"/>
          </w:tcPr>
          <w:p w:rsidR="002A54A1" w:rsidRPr="000F52B9" w:rsidRDefault="002A54A1" w:rsidP="002A54A1">
            <w:pPr>
              <w:numPr>
                <w:ilvl w:val="0"/>
                <w:numId w:val="10"/>
              </w:numPr>
              <w:autoSpaceDE w:val="0"/>
              <w:autoSpaceDN w:val="0"/>
              <w:adjustRightInd w:val="0"/>
              <w:jc w:val="both"/>
              <w:rPr>
                <w:sz w:val="22"/>
                <w:szCs w:val="22"/>
              </w:rPr>
            </w:pPr>
            <w:r>
              <w:rPr>
                <w:sz w:val="22"/>
              </w:rPr>
              <w:t xml:space="preserve">Όταν σε ένα κράτος μέλος η χορήγηση ενίσχυσης υπόκειται σε υποχρεώσεις </w:t>
            </w:r>
            <w:r>
              <w:rPr>
                <w:b/>
                <w:sz w:val="22"/>
              </w:rPr>
              <w:t>εδαφικότητας των δαπανών</w:t>
            </w:r>
            <w:r>
              <w:rPr>
                <w:sz w:val="22"/>
              </w:rPr>
              <w:t>, τα καθεστώτα ενισχύσεων για την παραγωγή οπτικοακουστικών έργων μπορούν (παράγραφος 4):</w:t>
            </w:r>
          </w:p>
          <w:p w:rsidR="002A54A1" w:rsidRPr="000F52B9" w:rsidRDefault="002A54A1" w:rsidP="00FC2121">
            <w:pPr>
              <w:numPr>
                <w:ilvl w:val="0"/>
                <w:numId w:val="38"/>
              </w:numPr>
              <w:autoSpaceDE w:val="0"/>
              <w:autoSpaceDN w:val="0"/>
              <w:adjustRightInd w:val="0"/>
              <w:jc w:val="both"/>
              <w:rPr>
                <w:sz w:val="22"/>
                <w:szCs w:val="22"/>
              </w:rPr>
            </w:pPr>
            <w:r>
              <w:rPr>
                <w:sz w:val="22"/>
              </w:rPr>
              <w:t>να απαιτούν έως το 160% της ενίσχυσης που χορηγείται για την παραγωγή ενός οπτικοακουστικού έργου να δαπανάται στο έδαφος του κράτους μέλους που χορηγεί την ενίσχυση ή</w:t>
            </w:r>
          </w:p>
          <w:p w:rsidR="002A54A1" w:rsidRPr="000F52B9" w:rsidRDefault="002A54A1" w:rsidP="00FC2121">
            <w:pPr>
              <w:numPr>
                <w:ilvl w:val="0"/>
                <w:numId w:val="38"/>
              </w:numPr>
              <w:autoSpaceDE w:val="0"/>
              <w:autoSpaceDN w:val="0"/>
              <w:adjustRightInd w:val="0"/>
              <w:jc w:val="both"/>
              <w:rPr>
                <w:sz w:val="22"/>
                <w:szCs w:val="22"/>
              </w:rPr>
            </w:pPr>
            <w:r>
              <w:rPr>
                <w:sz w:val="22"/>
              </w:rPr>
              <w:t>να υπολογίζουν το ποσό της ενίσχυσης που χορηγείται για την παραγωγή δεδομένου οπτικοακουστικού έργου ως ποσοστό των δαπανών για τις δραστηριότητες παραγωγής που πραγματοποιούνται στο κράτος μέλος που χορηγεί την ενίσχυση, κατά κανόνα στην περίπτωση καθεστώτων ενισχύσεων υπό μορφή φορολογικών κινήτρων.</w:t>
            </w:r>
          </w:p>
          <w:p w:rsidR="002A54A1" w:rsidRDefault="00C26463" w:rsidP="001161D2">
            <w:pPr>
              <w:autoSpaceDE w:val="0"/>
              <w:autoSpaceDN w:val="0"/>
              <w:adjustRightInd w:val="0"/>
              <w:ind w:left="360"/>
              <w:jc w:val="both"/>
              <w:rPr>
                <w:sz w:val="22"/>
                <w:szCs w:val="22"/>
              </w:rPr>
            </w:pPr>
            <w:r>
              <w:rPr>
                <w:sz w:val="22"/>
              </w:rPr>
              <w:t xml:space="preserve">Σε αμφότερες τις περιπτώσεις, το ανώτατο ποσό των δαπανών που υπόκεινται σε υποχρεώσεις εδαφικότητας δεν υπερβαίνει σε καμία περίπτωση το 80% του συνολικού προϋπολογισμού της παραγωγής. Για να είναι ένα έργο επιλέξιμο προς ενίσχυση, ένα κράτος μέλος μπορεί επίσης να απαιτήσει ένα ελάχιστο επίπεδο της δραστηριότητας παραγωγής να πραγματοποιείται στην οικεία επικράτεια, όμως το επίπεδο αυτό δεν δύναται να υπερβαίνει το 50 % του συνολικού προϋπολογισμού παραγωγής. </w:t>
            </w:r>
          </w:p>
          <w:p w:rsidR="002A54A1" w:rsidRPr="006C6F59" w:rsidRDefault="002A54A1" w:rsidP="001161D2">
            <w:pPr>
              <w:numPr>
                <w:ilvl w:val="0"/>
                <w:numId w:val="10"/>
              </w:numPr>
              <w:jc w:val="both"/>
              <w:rPr>
                <w:sz w:val="22"/>
                <w:szCs w:val="22"/>
              </w:rPr>
            </w:pPr>
            <w:r>
              <w:rPr>
                <w:b/>
                <w:sz w:val="22"/>
              </w:rPr>
              <w:t>Οι ενισχύσεις δεν προορίζονται αποκλειστικά για τους υπηκόους του οικείου κράτους μέλους</w:t>
            </w:r>
            <w:r>
              <w:rPr>
                <w:sz w:val="22"/>
              </w:rPr>
              <w:t>, και οι δικαιούχοι δεν υποχρεούνται να έχουν το καθεστώς επιχείρησης η οποία έχει συσταθεί βάσει του εθνικού εμπορικού δικαίου (παράγραφος 10).</w:t>
            </w:r>
          </w:p>
        </w:tc>
        <w:tc>
          <w:tcPr>
            <w:tcW w:w="2398" w:type="pct"/>
            <w:shd w:val="clear" w:color="auto" w:fill="auto"/>
          </w:tcPr>
          <w:p w:rsidR="002A54A1" w:rsidRPr="006C6F59" w:rsidRDefault="002A54A1" w:rsidP="00AE3359">
            <w:pPr>
              <w:rPr>
                <w:sz w:val="22"/>
                <w:szCs w:val="22"/>
              </w:rPr>
            </w:pPr>
          </w:p>
        </w:tc>
      </w:tr>
      <w:tr w:rsidR="002A54A1" w:rsidRPr="001161D2" w:rsidTr="001161D2">
        <w:tc>
          <w:tcPr>
            <w:tcW w:w="2602" w:type="pct"/>
            <w:shd w:val="clear" w:color="auto" w:fill="D9D9D9"/>
          </w:tcPr>
          <w:p w:rsidR="002A54A1" w:rsidRPr="001161D2" w:rsidRDefault="002A54A1" w:rsidP="002A54A1">
            <w:pPr>
              <w:jc w:val="both"/>
              <w:rPr>
                <w:b/>
                <w:sz w:val="22"/>
                <w:szCs w:val="22"/>
              </w:rPr>
            </w:pPr>
            <w:r>
              <w:rPr>
                <w:b/>
                <w:sz w:val="22"/>
              </w:rPr>
              <w:t>Επιλέξιμες δαπάνες</w:t>
            </w:r>
          </w:p>
        </w:tc>
        <w:tc>
          <w:tcPr>
            <w:tcW w:w="2398" w:type="pct"/>
            <w:shd w:val="clear" w:color="auto" w:fill="D9D9D9"/>
          </w:tcPr>
          <w:p w:rsidR="002A54A1" w:rsidRPr="001161D2" w:rsidRDefault="002A54A1" w:rsidP="00AE3359">
            <w:pPr>
              <w:rPr>
                <w:b/>
                <w:sz w:val="22"/>
                <w:szCs w:val="22"/>
              </w:rPr>
            </w:pPr>
          </w:p>
        </w:tc>
      </w:tr>
      <w:tr w:rsidR="002A54A1" w:rsidRPr="001161D2" w:rsidTr="00895393">
        <w:tc>
          <w:tcPr>
            <w:tcW w:w="2602" w:type="pct"/>
            <w:shd w:val="clear" w:color="auto" w:fill="auto"/>
          </w:tcPr>
          <w:p w:rsidR="002A54A1" w:rsidRPr="00B83A4A" w:rsidRDefault="002A54A1" w:rsidP="002A54A1">
            <w:pPr>
              <w:numPr>
                <w:ilvl w:val="0"/>
                <w:numId w:val="10"/>
              </w:numPr>
              <w:autoSpaceDE w:val="0"/>
              <w:autoSpaceDN w:val="0"/>
              <w:adjustRightInd w:val="0"/>
              <w:jc w:val="both"/>
              <w:rPr>
                <w:sz w:val="22"/>
                <w:szCs w:val="22"/>
              </w:rPr>
            </w:pPr>
            <w:r>
              <w:rPr>
                <w:b/>
                <w:sz w:val="22"/>
              </w:rPr>
              <w:lastRenderedPageBreak/>
              <w:t xml:space="preserve">Επιλέξιμες δαπάνες </w:t>
            </w:r>
            <w:r>
              <w:rPr>
                <w:sz w:val="22"/>
              </w:rPr>
              <w:t xml:space="preserve">είναι οι ακόλουθες (παράγραφος 5): </w:t>
            </w:r>
          </w:p>
          <w:p w:rsidR="002A54A1" w:rsidRPr="00B83A4A" w:rsidRDefault="002A54A1" w:rsidP="00FC2121">
            <w:pPr>
              <w:numPr>
                <w:ilvl w:val="0"/>
                <w:numId w:val="39"/>
              </w:numPr>
              <w:autoSpaceDE w:val="0"/>
              <w:autoSpaceDN w:val="0"/>
              <w:adjustRightInd w:val="0"/>
              <w:jc w:val="both"/>
              <w:rPr>
                <w:sz w:val="22"/>
                <w:szCs w:val="22"/>
              </w:rPr>
            </w:pPr>
            <w:r>
              <w:rPr>
                <w:sz w:val="22"/>
              </w:rPr>
              <w:t>για τις ενισχύσεις παραγωγής: το συνολικό κόστος της παραγωγής των οπτικοακουστικών έργων, συμπεριλαμβανομένων των εξόδων που αφορούν τη βελτίωση της προσπελασιμότητας για τα άτομα με αναπηρία·</w:t>
            </w:r>
          </w:p>
          <w:p w:rsidR="002A54A1" w:rsidRPr="00B83A4A" w:rsidRDefault="002A54A1" w:rsidP="00FC2121">
            <w:pPr>
              <w:numPr>
                <w:ilvl w:val="0"/>
                <w:numId w:val="39"/>
              </w:numPr>
              <w:autoSpaceDE w:val="0"/>
              <w:autoSpaceDN w:val="0"/>
              <w:adjustRightInd w:val="0"/>
              <w:jc w:val="both"/>
              <w:rPr>
                <w:sz w:val="22"/>
                <w:szCs w:val="22"/>
              </w:rPr>
            </w:pPr>
            <w:r>
              <w:rPr>
                <w:sz w:val="22"/>
              </w:rPr>
              <w:t>για τις ενισχύσεις προ-παραγωγής: οι δαπάνες για τη συγγραφή σεναρίου και την ανάπτυξη οπτικοακουστικών έργων·</w:t>
            </w:r>
          </w:p>
          <w:p w:rsidR="002A54A1" w:rsidRPr="001161D2" w:rsidRDefault="002A54A1" w:rsidP="00FC2121">
            <w:pPr>
              <w:numPr>
                <w:ilvl w:val="0"/>
                <w:numId w:val="39"/>
              </w:numPr>
              <w:autoSpaceDE w:val="0"/>
              <w:autoSpaceDN w:val="0"/>
              <w:adjustRightInd w:val="0"/>
              <w:jc w:val="both"/>
              <w:rPr>
                <w:sz w:val="22"/>
                <w:szCs w:val="22"/>
              </w:rPr>
            </w:pPr>
            <w:r>
              <w:rPr>
                <w:sz w:val="22"/>
              </w:rPr>
              <w:t>για τις ενισχύσεις διανομής: οι δαπάνες για τη διανομή και προώθηση οπτικοακουστικών έργων.</w:t>
            </w:r>
          </w:p>
        </w:tc>
        <w:tc>
          <w:tcPr>
            <w:tcW w:w="2398" w:type="pct"/>
            <w:shd w:val="clear" w:color="auto" w:fill="auto"/>
          </w:tcPr>
          <w:p w:rsidR="002A54A1" w:rsidRPr="001161D2" w:rsidRDefault="002A54A1" w:rsidP="00AE3359">
            <w:pPr>
              <w:rPr>
                <w:sz w:val="22"/>
                <w:szCs w:val="22"/>
              </w:rPr>
            </w:pPr>
          </w:p>
        </w:tc>
      </w:tr>
      <w:tr w:rsidR="002A54A1" w:rsidRPr="001161D2" w:rsidTr="001161D2">
        <w:tc>
          <w:tcPr>
            <w:tcW w:w="2602" w:type="pct"/>
            <w:shd w:val="clear" w:color="auto" w:fill="D9D9D9"/>
          </w:tcPr>
          <w:p w:rsidR="002A54A1" w:rsidRPr="006C6F59" w:rsidRDefault="006C6F59" w:rsidP="002A54A1">
            <w:pPr>
              <w:jc w:val="both"/>
              <w:rPr>
                <w:sz w:val="22"/>
                <w:szCs w:val="22"/>
              </w:rPr>
            </w:pPr>
            <w:r>
              <w:rPr>
                <w:b/>
                <w:sz w:val="22"/>
              </w:rPr>
              <w:t>Ένταση της ενίσχυσης</w:t>
            </w:r>
          </w:p>
        </w:tc>
        <w:tc>
          <w:tcPr>
            <w:tcW w:w="2398" w:type="pct"/>
            <w:shd w:val="clear" w:color="auto" w:fill="D9D9D9"/>
          </w:tcPr>
          <w:p w:rsidR="002A54A1" w:rsidRPr="006C6F59" w:rsidRDefault="002A54A1" w:rsidP="00AE3359">
            <w:pPr>
              <w:rPr>
                <w:sz w:val="22"/>
                <w:szCs w:val="22"/>
              </w:rPr>
            </w:pPr>
          </w:p>
        </w:tc>
      </w:tr>
      <w:tr w:rsidR="002A54A1" w:rsidRPr="001161D2" w:rsidTr="00895393">
        <w:tc>
          <w:tcPr>
            <w:tcW w:w="2602" w:type="pct"/>
            <w:shd w:val="clear" w:color="auto" w:fill="auto"/>
          </w:tcPr>
          <w:p w:rsidR="006C6F59" w:rsidRPr="009B62D2" w:rsidRDefault="006C6F59" w:rsidP="006C6F59">
            <w:pPr>
              <w:numPr>
                <w:ilvl w:val="0"/>
                <w:numId w:val="10"/>
              </w:numPr>
              <w:autoSpaceDE w:val="0"/>
              <w:autoSpaceDN w:val="0"/>
              <w:adjustRightInd w:val="0"/>
              <w:jc w:val="both"/>
              <w:rPr>
                <w:sz w:val="22"/>
                <w:szCs w:val="22"/>
              </w:rPr>
            </w:pPr>
            <w:r>
              <w:rPr>
                <w:sz w:val="22"/>
              </w:rPr>
              <w:t xml:space="preserve">Η </w:t>
            </w:r>
            <w:r>
              <w:rPr>
                <w:b/>
                <w:sz w:val="22"/>
              </w:rPr>
              <w:t>ένταση της ενίσχυσης</w:t>
            </w:r>
            <w:r>
              <w:rPr>
                <w:sz w:val="22"/>
              </w:rPr>
              <w:t xml:space="preserve"> για την παραγωγή οπτικοακουστικών έργων δεν υπερβαίνει το 50% των επιλέξιμων δαπανών (παράγραφος 6).</w:t>
            </w:r>
          </w:p>
          <w:p w:rsidR="006C6F59" w:rsidRPr="009B62D2" w:rsidRDefault="006C6F59" w:rsidP="006C6F59">
            <w:pPr>
              <w:numPr>
                <w:ilvl w:val="0"/>
                <w:numId w:val="10"/>
              </w:numPr>
              <w:autoSpaceDE w:val="0"/>
              <w:autoSpaceDN w:val="0"/>
              <w:adjustRightInd w:val="0"/>
              <w:jc w:val="both"/>
              <w:rPr>
                <w:sz w:val="22"/>
                <w:szCs w:val="22"/>
              </w:rPr>
            </w:pPr>
            <w:r>
              <w:rPr>
                <w:b/>
                <w:sz w:val="22"/>
              </w:rPr>
              <w:t>Πριμοδοτήσεις:</w:t>
            </w:r>
            <w:r>
              <w:rPr>
                <w:sz w:val="22"/>
              </w:rPr>
              <w:t xml:space="preserve"> Η ένταση της ενίσχυσης μπορεί να αυξηθεί ως εξής (παράγραφος 7):</w:t>
            </w:r>
          </w:p>
          <w:p w:rsidR="006C6F59" w:rsidRPr="009B62D2" w:rsidRDefault="006C6F59" w:rsidP="00FC2121">
            <w:pPr>
              <w:numPr>
                <w:ilvl w:val="0"/>
                <w:numId w:val="40"/>
              </w:numPr>
              <w:autoSpaceDE w:val="0"/>
              <w:autoSpaceDN w:val="0"/>
              <w:adjustRightInd w:val="0"/>
              <w:jc w:val="both"/>
              <w:rPr>
                <w:sz w:val="22"/>
                <w:szCs w:val="22"/>
              </w:rPr>
            </w:pPr>
            <w:r>
              <w:rPr>
                <w:sz w:val="22"/>
              </w:rPr>
              <w:t>σε 60 % των επιλέξιμων δαπανών για τις διασυνοριακές παραγωγές που χρηματοδοτούνται από περισσότερα του ενός κράτη μέλη και στις οποίες συμμετέχουν παραγωγοί από περισσότερα του ενός κράτη μέλη·</w:t>
            </w:r>
          </w:p>
          <w:p w:rsidR="006C6F59" w:rsidRPr="009B62D2" w:rsidRDefault="006C6F59" w:rsidP="00FC2121">
            <w:pPr>
              <w:numPr>
                <w:ilvl w:val="0"/>
                <w:numId w:val="40"/>
              </w:numPr>
              <w:autoSpaceDE w:val="0"/>
              <w:autoSpaceDN w:val="0"/>
              <w:adjustRightInd w:val="0"/>
              <w:jc w:val="both"/>
              <w:rPr>
                <w:sz w:val="22"/>
                <w:szCs w:val="22"/>
              </w:rPr>
            </w:pPr>
            <w:r>
              <w:rPr>
                <w:sz w:val="22"/>
              </w:rPr>
              <w:t>σε 100 % των επιλέξιμων δαπανών για τα δύσκολα οπτικοακουστικά έργα και τις συμπαραγωγές στις οποίες συμμετέχουν χώρες από τον κατάλογο της Επιτροπής Αναπτυξιακής Βοήθειας (ΕΑΒ) του ΟΟΣΑ.</w:t>
            </w:r>
          </w:p>
          <w:p w:rsidR="002A54A1" w:rsidRPr="001161D2" w:rsidRDefault="006C6F59" w:rsidP="001161D2">
            <w:pPr>
              <w:numPr>
                <w:ilvl w:val="0"/>
                <w:numId w:val="11"/>
              </w:numPr>
              <w:autoSpaceDE w:val="0"/>
              <w:autoSpaceDN w:val="0"/>
              <w:adjustRightInd w:val="0"/>
              <w:jc w:val="both"/>
              <w:rPr>
                <w:sz w:val="22"/>
                <w:szCs w:val="22"/>
              </w:rPr>
            </w:pPr>
            <w:r>
              <w:rPr>
                <w:sz w:val="22"/>
              </w:rPr>
              <w:t xml:space="preserve">Η </w:t>
            </w:r>
            <w:r>
              <w:rPr>
                <w:b/>
                <w:sz w:val="22"/>
              </w:rPr>
              <w:t>ένταση της ενίσχυσης</w:t>
            </w:r>
            <w:r>
              <w:rPr>
                <w:sz w:val="22"/>
              </w:rPr>
              <w:t xml:space="preserve"> για το στάδιο προ-παραγωγής δεν υπερβαίνει το 100 % των επιλέξιμων δαπανών. Εάν το σενάριο ή το σχέδιο καταλήγει σε οπτικοακουστικό έργο, όπως κινηματογραφική ταινία, οι δαπάνες προ-παραγωγής ενσωματώνονται στον συνολικό προϋπολογισμό και λαμβάνονται υπόψη στον υπολογισμό της έντασης της ενίσχυσης. Η ένταση της ενίσχυσης για το στάδιο διανομής είναι η ίδια με εκείνη του σταδίου παραγωγής (παράγραφος 8).</w:t>
            </w:r>
          </w:p>
        </w:tc>
        <w:tc>
          <w:tcPr>
            <w:tcW w:w="2398" w:type="pct"/>
            <w:shd w:val="clear" w:color="auto" w:fill="auto"/>
          </w:tcPr>
          <w:p w:rsidR="002A54A1" w:rsidRPr="001161D2" w:rsidRDefault="002A54A1" w:rsidP="00AE3359">
            <w:pPr>
              <w:rPr>
                <w:sz w:val="22"/>
                <w:szCs w:val="22"/>
              </w:rPr>
            </w:pPr>
          </w:p>
        </w:tc>
      </w:tr>
    </w:tbl>
    <w:p w:rsidR="00A67375" w:rsidRPr="001161D2" w:rsidRDefault="00A67375" w:rsidP="00AE3359">
      <w:pPr>
        <w:rPr>
          <w:sz w:val="22"/>
          <w:szCs w:val="22"/>
        </w:rPr>
      </w:pPr>
    </w:p>
    <w:sectPr w:rsidR="00A67375" w:rsidRPr="001161D2" w:rsidSect="00895393">
      <w:headerReference w:type="default" r:id="rId13"/>
      <w:pgSz w:w="15840" w:h="12240" w:orient="landscape"/>
      <w:pgMar w:top="1417" w:right="81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98" w:rsidRDefault="00E02498">
      <w:r>
        <w:separator/>
      </w:r>
    </w:p>
  </w:endnote>
  <w:endnote w:type="continuationSeparator" w:id="0">
    <w:p w:rsidR="00E02498" w:rsidRDefault="00E0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98" w:rsidRDefault="00E02498">
      <w:r>
        <w:separator/>
      </w:r>
    </w:p>
  </w:footnote>
  <w:footnote w:type="continuationSeparator" w:id="0">
    <w:p w:rsidR="00E02498" w:rsidRDefault="00E02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4E" w:rsidRDefault="001F344E" w:rsidP="001F344E">
    <w:pPr>
      <w:pStyle w:val="a8"/>
      <w:ind w:left="720"/>
      <w:rPr>
        <w:sz w:val="22"/>
        <w:szCs w:val="22"/>
      </w:rPr>
    </w:pPr>
    <w:r>
      <w:rPr>
        <w:sz w:val="22"/>
      </w:rPr>
      <w:t>Η ανάγνωση του παρόντος εγγράφου δεν απαλλάσσει από την ανάγνωση του ΓΚΑΚ 2014</w:t>
    </w:r>
  </w:p>
  <w:p w:rsidR="00831AE9" w:rsidRDefault="00831AE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9DF"/>
    <w:multiLevelType w:val="hybridMultilevel"/>
    <w:tmpl w:val="910CE5C6"/>
    <w:lvl w:ilvl="0" w:tplc="F806889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B166E"/>
    <w:multiLevelType w:val="hybridMultilevel"/>
    <w:tmpl w:val="95E2A0A0"/>
    <w:lvl w:ilvl="0" w:tplc="531A62E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9165AD"/>
    <w:multiLevelType w:val="hybridMultilevel"/>
    <w:tmpl w:val="81ECDD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DB62E5"/>
    <w:multiLevelType w:val="hybridMultilevel"/>
    <w:tmpl w:val="E36665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9760C0"/>
    <w:multiLevelType w:val="hybridMultilevel"/>
    <w:tmpl w:val="F11C8A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BF5078"/>
    <w:multiLevelType w:val="hybridMultilevel"/>
    <w:tmpl w:val="CB760D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5C736DE"/>
    <w:multiLevelType w:val="hybridMultilevel"/>
    <w:tmpl w:val="DB6C6E98"/>
    <w:lvl w:ilvl="0" w:tplc="3264719E">
      <w:start w:val="1"/>
      <w:numFmt w:val="bullet"/>
      <w:lvlText w:val=""/>
      <w:lvlJc w:val="left"/>
      <w:pPr>
        <w:tabs>
          <w:tab w:val="num" w:pos="360"/>
        </w:tabs>
        <w:ind w:left="360" w:hanging="360"/>
      </w:pPr>
      <w:rPr>
        <w:rFonts w:ascii="Symbol" w:hAnsi="Symbol" w:hint="default"/>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6D640A1"/>
    <w:multiLevelType w:val="hybridMultilevel"/>
    <w:tmpl w:val="3CAE6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E05199"/>
    <w:multiLevelType w:val="hybridMultilevel"/>
    <w:tmpl w:val="48BCC2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220A9F"/>
    <w:multiLevelType w:val="hybridMultilevel"/>
    <w:tmpl w:val="57E434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D23775"/>
    <w:multiLevelType w:val="hybridMultilevel"/>
    <w:tmpl w:val="2452A1B4"/>
    <w:lvl w:ilvl="0" w:tplc="08090017">
      <w:start w:val="1"/>
      <w:numFmt w:val="lowerLetter"/>
      <w:lvlText w:val="%1)"/>
      <w:lvlJc w:val="left"/>
      <w:pPr>
        <w:ind w:left="720" w:hanging="360"/>
      </w:pPr>
    </w:lvl>
    <w:lvl w:ilvl="1" w:tplc="0FD24D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4656B7"/>
    <w:multiLevelType w:val="hybridMultilevel"/>
    <w:tmpl w:val="A2AC4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2826EF"/>
    <w:multiLevelType w:val="hybridMultilevel"/>
    <w:tmpl w:val="8D322810"/>
    <w:lvl w:ilvl="0" w:tplc="F806889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7F4D52"/>
    <w:multiLevelType w:val="hybridMultilevel"/>
    <w:tmpl w:val="2C10C46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0B6DDA"/>
    <w:multiLevelType w:val="hybridMultilevel"/>
    <w:tmpl w:val="2F948B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420C27"/>
    <w:multiLevelType w:val="hybridMultilevel"/>
    <w:tmpl w:val="8B4A0C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2FF0D20"/>
    <w:multiLevelType w:val="hybridMultilevel"/>
    <w:tmpl w:val="AB8A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A63884"/>
    <w:multiLevelType w:val="hybridMultilevel"/>
    <w:tmpl w:val="ACA2320E"/>
    <w:lvl w:ilvl="0" w:tplc="F806889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3D12C9"/>
    <w:multiLevelType w:val="hybridMultilevel"/>
    <w:tmpl w:val="9704F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09397E"/>
    <w:multiLevelType w:val="hybridMultilevel"/>
    <w:tmpl w:val="B98EF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EE289C"/>
    <w:multiLevelType w:val="hybridMultilevel"/>
    <w:tmpl w:val="625CF9FA"/>
    <w:lvl w:ilvl="0" w:tplc="F806889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FD24D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65519F"/>
    <w:multiLevelType w:val="hybridMultilevel"/>
    <w:tmpl w:val="EF1813CA"/>
    <w:lvl w:ilvl="0" w:tplc="F806889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8C25C8"/>
    <w:multiLevelType w:val="hybridMultilevel"/>
    <w:tmpl w:val="2038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282508"/>
    <w:multiLevelType w:val="hybridMultilevel"/>
    <w:tmpl w:val="C4A450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A53141"/>
    <w:multiLevelType w:val="hybridMultilevel"/>
    <w:tmpl w:val="6A04A514"/>
    <w:lvl w:ilvl="0" w:tplc="F806889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EB33AA"/>
    <w:multiLevelType w:val="hybridMultilevel"/>
    <w:tmpl w:val="71A090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D82332"/>
    <w:multiLevelType w:val="hybridMultilevel"/>
    <w:tmpl w:val="BC467714"/>
    <w:lvl w:ilvl="0" w:tplc="95D8FF8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9127A9"/>
    <w:multiLevelType w:val="hybridMultilevel"/>
    <w:tmpl w:val="9230CA7A"/>
    <w:lvl w:ilvl="0" w:tplc="F806889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5727A8"/>
    <w:multiLevelType w:val="hybridMultilevel"/>
    <w:tmpl w:val="3B6ABEF2"/>
    <w:lvl w:ilvl="0" w:tplc="F806889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38222C"/>
    <w:multiLevelType w:val="hybridMultilevel"/>
    <w:tmpl w:val="5A8C02A0"/>
    <w:lvl w:ilvl="0" w:tplc="F806889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B01367"/>
    <w:multiLevelType w:val="hybridMultilevel"/>
    <w:tmpl w:val="2E12EA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126EAF"/>
    <w:multiLevelType w:val="hybridMultilevel"/>
    <w:tmpl w:val="F5B49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12171BC"/>
    <w:multiLevelType w:val="hybridMultilevel"/>
    <w:tmpl w:val="18806248"/>
    <w:lvl w:ilvl="0" w:tplc="08090017">
      <w:start w:val="1"/>
      <w:numFmt w:val="lowerLetter"/>
      <w:lvlText w:val="%1)"/>
      <w:lvlJc w:val="left"/>
      <w:pPr>
        <w:ind w:left="720" w:hanging="360"/>
      </w:pPr>
    </w:lvl>
    <w:lvl w:ilvl="1" w:tplc="F8068896">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0B756B"/>
    <w:multiLevelType w:val="hybridMultilevel"/>
    <w:tmpl w:val="9D240432"/>
    <w:lvl w:ilvl="0" w:tplc="F806889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085285"/>
    <w:multiLevelType w:val="hybridMultilevel"/>
    <w:tmpl w:val="DDC08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9F064B4"/>
    <w:multiLevelType w:val="hybridMultilevel"/>
    <w:tmpl w:val="26945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2753A43"/>
    <w:multiLevelType w:val="hybridMultilevel"/>
    <w:tmpl w:val="CFC2CB58"/>
    <w:lvl w:ilvl="0" w:tplc="F806889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8068896">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FE40C4"/>
    <w:multiLevelType w:val="hybridMultilevel"/>
    <w:tmpl w:val="A20650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447C67"/>
    <w:multiLevelType w:val="hybridMultilevel"/>
    <w:tmpl w:val="EF0C3FE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9"/>
  </w:num>
  <w:num w:numId="3">
    <w:abstractNumId w:val="11"/>
  </w:num>
  <w:num w:numId="4">
    <w:abstractNumId w:val="5"/>
  </w:num>
  <w:num w:numId="5">
    <w:abstractNumId w:val="31"/>
  </w:num>
  <w:num w:numId="6">
    <w:abstractNumId w:val="1"/>
  </w:num>
  <w:num w:numId="7">
    <w:abstractNumId w:val="16"/>
  </w:num>
  <w:num w:numId="8">
    <w:abstractNumId w:val="15"/>
  </w:num>
  <w:num w:numId="9">
    <w:abstractNumId w:val="6"/>
  </w:num>
  <w:num w:numId="10">
    <w:abstractNumId w:val="2"/>
  </w:num>
  <w:num w:numId="11">
    <w:abstractNumId w:val="34"/>
  </w:num>
  <w:num w:numId="12">
    <w:abstractNumId w:val="18"/>
  </w:num>
  <w:num w:numId="13">
    <w:abstractNumId w:val="38"/>
  </w:num>
  <w:num w:numId="14">
    <w:abstractNumId w:val="25"/>
  </w:num>
  <w:num w:numId="15">
    <w:abstractNumId w:val="7"/>
  </w:num>
  <w:num w:numId="16">
    <w:abstractNumId w:val="9"/>
  </w:num>
  <w:num w:numId="17">
    <w:abstractNumId w:val="14"/>
  </w:num>
  <w:num w:numId="18">
    <w:abstractNumId w:val="30"/>
  </w:num>
  <w:num w:numId="19">
    <w:abstractNumId w:val="8"/>
  </w:num>
  <w:num w:numId="20">
    <w:abstractNumId w:val="23"/>
  </w:num>
  <w:num w:numId="21">
    <w:abstractNumId w:val="37"/>
  </w:num>
  <w:num w:numId="22">
    <w:abstractNumId w:val="22"/>
  </w:num>
  <w:num w:numId="23">
    <w:abstractNumId w:val="3"/>
  </w:num>
  <w:num w:numId="24">
    <w:abstractNumId w:val="13"/>
  </w:num>
  <w:num w:numId="25">
    <w:abstractNumId w:val="22"/>
  </w:num>
  <w:num w:numId="26">
    <w:abstractNumId w:val="26"/>
  </w:num>
  <w:num w:numId="27">
    <w:abstractNumId w:val="4"/>
  </w:num>
  <w:num w:numId="28">
    <w:abstractNumId w:val="10"/>
  </w:num>
  <w:num w:numId="29">
    <w:abstractNumId w:val="28"/>
  </w:num>
  <w:num w:numId="30">
    <w:abstractNumId w:val="20"/>
  </w:num>
  <w:num w:numId="31">
    <w:abstractNumId w:val="32"/>
  </w:num>
  <w:num w:numId="32">
    <w:abstractNumId w:val="36"/>
  </w:num>
  <w:num w:numId="33">
    <w:abstractNumId w:val="24"/>
  </w:num>
  <w:num w:numId="34">
    <w:abstractNumId w:val="29"/>
  </w:num>
  <w:num w:numId="35">
    <w:abstractNumId w:val="27"/>
  </w:num>
  <w:num w:numId="36">
    <w:abstractNumId w:val="33"/>
  </w:num>
  <w:num w:numId="37">
    <w:abstractNumId w:val="21"/>
  </w:num>
  <w:num w:numId="38">
    <w:abstractNumId w:val="12"/>
  </w:num>
  <w:num w:numId="39">
    <w:abstractNumId w:val="17"/>
  </w:num>
  <w:num w:numId="40">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461F"/>
    <w:rsid w:val="00003443"/>
    <w:rsid w:val="00003D17"/>
    <w:rsid w:val="000307FC"/>
    <w:rsid w:val="000372A4"/>
    <w:rsid w:val="0004275D"/>
    <w:rsid w:val="00045763"/>
    <w:rsid w:val="00045C91"/>
    <w:rsid w:val="00047DB1"/>
    <w:rsid w:val="000550A4"/>
    <w:rsid w:val="00063A0A"/>
    <w:rsid w:val="00066155"/>
    <w:rsid w:val="0007152F"/>
    <w:rsid w:val="000729AA"/>
    <w:rsid w:val="0007352F"/>
    <w:rsid w:val="0007495E"/>
    <w:rsid w:val="00085359"/>
    <w:rsid w:val="0009138B"/>
    <w:rsid w:val="000934FB"/>
    <w:rsid w:val="000969AA"/>
    <w:rsid w:val="0009762A"/>
    <w:rsid w:val="000A0383"/>
    <w:rsid w:val="000A19E8"/>
    <w:rsid w:val="000A2636"/>
    <w:rsid w:val="000B0A2E"/>
    <w:rsid w:val="000B0C62"/>
    <w:rsid w:val="000C51C2"/>
    <w:rsid w:val="000E10AB"/>
    <w:rsid w:val="000E4DAE"/>
    <w:rsid w:val="000F1FCD"/>
    <w:rsid w:val="000F2C08"/>
    <w:rsid w:val="000F75EF"/>
    <w:rsid w:val="001161D2"/>
    <w:rsid w:val="0012665D"/>
    <w:rsid w:val="0013556A"/>
    <w:rsid w:val="0014007D"/>
    <w:rsid w:val="00176DBE"/>
    <w:rsid w:val="00180EAA"/>
    <w:rsid w:val="001A7FDD"/>
    <w:rsid w:val="001B05F1"/>
    <w:rsid w:val="001C0C3A"/>
    <w:rsid w:val="001C29C1"/>
    <w:rsid w:val="001C6D64"/>
    <w:rsid w:val="001D0FD1"/>
    <w:rsid w:val="001F344E"/>
    <w:rsid w:val="001F48D0"/>
    <w:rsid w:val="0020708C"/>
    <w:rsid w:val="00221B84"/>
    <w:rsid w:val="00222F1C"/>
    <w:rsid w:val="00231010"/>
    <w:rsid w:val="00231553"/>
    <w:rsid w:val="002427AF"/>
    <w:rsid w:val="002470A3"/>
    <w:rsid w:val="00275069"/>
    <w:rsid w:val="002905A3"/>
    <w:rsid w:val="00291068"/>
    <w:rsid w:val="002920BD"/>
    <w:rsid w:val="00293736"/>
    <w:rsid w:val="002A54A1"/>
    <w:rsid w:val="002B3E57"/>
    <w:rsid w:val="002B4358"/>
    <w:rsid w:val="002B4CA9"/>
    <w:rsid w:val="002B54DF"/>
    <w:rsid w:val="002C4130"/>
    <w:rsid w:val="002D4CC4"/>
    <w:rsid w:val="002E3BB9"/>
    <w:rsid w:val="00307511"/>
    <w:rsid w:val="00311BDC"/>
    <w:rsid w:val="00316FFC"/>
    <w:rsid w:val="00321646"/>
    <w:rsid w:val="00330DE5"/>
    <w:rsid w:val="00335128"/>
    <w:rsid w:val="00336EAF"/>
    <w:rsid w:val="00337965"/>
    <w:rsid w:val="00356870"/>
    <w:rsid w:val="00363F95"/>
    <w:rsid w:val="0037514B"/>
    <w:rsid w:val="0037615F"/>
    <w:rsid w:val="00385B67"/>
    <w:rsid w:val="00392B97"/>
    <w:rsid w:val="00397EC8"/>
    <w:rsid w:val="003A34CB"/>
    <w:rsid w:val="003A70AE"/>
    <w:rsid w:val="003A757F"/>
    <w:rsid w:val="003B1B1C"/>
    <w:rsid w:val="003B745C"/>
    <w:rsid w:val="003D41BA"/>
    <w:rsid w:val="003E0049"/>
    <w:rsid w:val="003E00A3"/>
    <w:rsid w:val="003E4E9D"/>
    <w:rsid w:val="003F7596"/>
    <w:rsid w:val="00400566"/>
    <w:rsid w:val="00421231"/>
    <w:rsid w:val="0042377F"/>
    <w:rsid w:val="00424808"/>
    <w:rsid w:val="0043100E"/>
    <w:rsid w:val="004412F5"/>
    <w:rsid w:val="004452B6"/>
    <w:rsid w:val="004501A7"/>
    <w:rsid w:val="0045170D"/>
    <w:rsid w:val="00453971"/>
    <w:rsid w:val="004618BB"/>
    <w:rsid w:val="00461A7C"/>
    <w:rsid w:val="004672C9"/>
    <w:rsid w:val="004745B1"/>
    <w:rsid w:val="00481FD8"/>
    <w:rsid w:val="004B7EF7"/>
    <w:rsid w:val="004D0D76"/>
    <w:rsid w:val="004F201B"/>
    <w:rsid w:val="004F6330"/>
    <w:rsid w:val="00502676"/>
    <w:rsid w:val="00513516"/>
    <w:rsid w:val="00531692"/>
    <w:rsid w:val="005336DB"/>
    <w:rsid w:val="00534552"/>
    <w:rsid w:val="005442C1"/>
    <w:rsid w:val="005443D4"/>
    <w:rsid w:val="00554D95"/>
    <w:rsid w:val="00557283"/>
    <w:rsid w:val="00571298"/>
    <w:rsid w:val="005875CA"/>
    <w:rsid w:val="00593387"/>
    <w:rsid w:val="005A1DB3"/>
    <w:rsid w:val="005A4C70"/>
    <w:rsid w:val="005B598E"/>
    <w:rsid w:val="005D42EC"/>
    <w:rsid w:val="005D481A"/>
    <w:rsid w:val="005E0445"/>
    <w:rsid w:val="005E23C6"/>
    <w:rsid w:val="005E7699"/>
    <w:rsid w:val="005F14EC"/>
    <w:rsid w:val="006112FF"/>
    <w:rsid w:val="0061207C"/>
    <w:rsid w:val="0061345C"/>
    <w:rsid w:val="006149DC"/>
    <w:rsid w:val="006155AB"/>
    <w:rsid w:val="006179D0"/>
    <w:rsid w:val="00620255"/>
    <w:rsid w:val="00624BDF"/>
    <w:rsid w:val="00624CDE"/>
    <w:rsid w:val="00626599"/>
    <w:rsid w:val="0063569E"/>
    <w:rsid w:val="00647BA4"/>
    <w:rsid w:val="00652617"/>
    <w:rsid w:val="00654CC5"/>
    <w:rsid w:val="00660ED7"/>
    <w:rsid w:val="006618E9"/>
    <w:rsid w:val="00663D78"/>
    <w:rsid w:val="0066573A"/>
    <w:rsid w:val="0067010A"/>
    <w:rsid w:val="00674F49"/>
    <w:rsid w:val="00682CD5"/>
    <w:rsid w:val="006A2A1E"/>
    <w:rsid w:val="006C6F39"/>
    <w:rsid w:val="006C6F59"/>
    <w:rsid w:val="006D137E"/>
    <w:rsid w:val="006D612B"/>
    <w:rsid w:val="006D79B1"/>
    <w:rsid w:val="006E1F72"/>
    <w:rsid w:val="0070535F"/>
    <w:rsid w:val="0071555B"/>
    <w:rsid w:val="00727072"/>
    <w:rsid w:val="00761D21"/>
    <w:rsid w:val="00773F1E"/>
    <w:rsid w:val="00783CA1"/>
    <w:rsid w:val="0078598B"/>
    <w:rsid w:val="0079018B"/>
    <w:rsid w:val="007A1162"/>
    <w:rsid w:val="007A2C05"/>
    <w:rsid w:val="007B0B68"/>
    <w:rsid w:val="007B273B"/>
    <w:rsid w:val="007B6E14"/>
    <w:rsid w:val="007C4733"/>
    <w:rsid w:val="007D461F"/>
    <w:rsid w:val="007D6D47"/>
    <w:rsid w:val="007E1A2F"/>
    <w:rsid w:val="007F0757"/>
    <w:rsid w:val="007F572A"/>
    <w:rsid w:val="00801247"/>
    <w:rsid w:val="00827EF8"/>
    <w:rsid w:val="00831AE9"/>
    <w:rsid w:val="00832DAB"/>
    <w:rsid w:val="00834ED4"/>
    <w:rsid w:val="00844CD3"/>
    <w:rsid w:val="008476F4"/>
    <w:rsid w:val="00852C3B"/>
    <w:rsid w:val="00856814"/>
    <w:rsid w:val="00867005"/>
    <w:rsid w:val="00883DFF"/>
    <w:rsid w:val="00885BB0"/>
    <w:rsid w:val="00886A1D"/>
    <w:rsid w:val="00895393"/>
    <w:rsid w:val="008A3AC1"/>
    <w:rsid w:val="008A3D6A"/>
    <w:rsid w:val="008B33CE"/>
    <w:rsid w:val="008C1495"/>
    <w:rsid w:val="008C58A4"/>
    <w:rsid w:val="008C5BB2"/>
    <w:rsid w:val="008C6BDA"/>
    <w:rsid w:val="008D3D7C"/>
    <w:rsid w:val="008F28E4"/>
    <w:rsid w:val="008F3609"/>
    <w:rsid w:val="008F7532"/>
    <w:rsid w:val="00920585"/>
    <w:rsid w:val="0092466F"/>
    <w:rsid w:val="00931208"/>
    <w:rsid w:val="00931928"/>
    <w:rsid w:val="00933611"/>
    <w:rsid w:val="00947544"/>
    <w:rsid w:val="0095164F"/>
    <w:rsid w:val="0095335C"/>
    <w:rsid w:val="00960792"/>
    <w:rsid w:val="00977A9A"/>
    <w:rsid w:val="00981AB9"/>
    <w:rsid w:val="00986F2B"/>
    <w:rsid w:val="00991733"/>
    <w:rsid w:val="00994B7C"/>
    <w:rsid w:val="00995DBB"/>
    <w:rsid w:val="009B0CDD"/>
    <w:rsid w:val="009C0788"/>
    <w:rsid w:val="009C13FD"/>
    <w:rsid w:val="009D0320"/>
    <w:rsid w:val="009E14D9"/>
    <w:rsid w:val="009F0902"/>
    <w:rsid w:val="009F2DB2"/>
    <w:rsid w:val="009F52DA"/>
    <w:rsid w:val="00A21C2F"/>
    <w:rsid w:val="00A2428C"/>
    <w:rsid w:val="00A24976"/>
    <w:rsid w:val="00A404CF"/>
    <w:rsid w:val="00A415C5"/>
    <w:rsid w:val="00A43E85"/>
    <w:rsid w:val="00A46329"/>
    <w:rsid w:val="00A46614"/>
    <w:rsid w:val="00A6604D"/>
    <w:rsid w:val="00A67375"/>
    <w:rsid w:val="00A8428A"/>
    <w:rsid w:val="00A8762D"/>
    <w:rsid w:val="00AA1EC8"/>
    <w:rsid w:val="00AA37CE"/>
    <w:rsid w:val="00AA6116"/>
    <w:rsid w:val="00AA779E"/>
    <w:rsid w:val="00AB1D4E"/>
    <w:rsid w:val="00AB5424"/>
    <w:rsid w:val="00AB6771"/>
    <w:rsid w:val="00AB7FD4"/>
    <w:rsid w:val="00AC1C17"/>
    <w:rsid w:val="00AC39C3"/>
    <w:rsid w:val="00AC4476"/>
    <w:rsid w:val="00AD2B50"/>
    <w:rsid w:val="00AD72E7"/>
    <w:rsid w:val="00AE1488"/>
    <w:rsid w:val="00AE25BD"/>
    <w:rsid w:val="00AE3359"/>
    <w:rsid w:val="00AE37E6"/>
    <w:rsid w:val="00AE56FC"/>
    <w:rsid w:val="00B07819"/>
    <w:rsid w:val="00B106C8"/>
    <w:rsid w:val="00B4159B"/>
    <w:rsid w:val="00B46C58"/>
    <w:rsid w:val="00B54C4E"/>
    <w:rsid w:val="00B55BDD"/>
    <w:rsid w:val="00B70C80"/>
    <w:rsid w:val="00B87F87"/>
    <w:rsid w:val="00B94558"/>
    <w:rsid w:val="00B95468"/>
    <w:rsid w:val="00BA22B7"/>
    <w:rsid w:val="00BA5D9C"/>
    <w:rsid w:val="00BA710B"/>
    <w:rsid w:val="00BB06AE"/>
    <w:rsid w:val="00BB080C"/>
    <w:rsid w:val="00BB2CA7"/>
    <w:rsid w:val="00BC780C"/>
    <w:rsid w:val="00BD3F80"/>
    <w:rsid w:val="00BE13EB"/>
    <w:rsid w:val="00BF4423"/>
    <w:rsid w:val="00C032F5"/>
    <w:rsid w:val="00C12FD6"/>
    <w:rsid w:val="00C146A4"/>
    <w:rsid w:val="00C26463"/>
    <w:rsid w:val="00C400E7"/>
    <w:rsid w:val="00C4593E"/>
    <w:rsid w:val="00C5368A"/>
    <w:rsid w:val="00C615C4"/>
    <w:rsid w:val="00C62BFC"/>
    <w:rsid w:val="00C64EBE"/>
    <w:rsid w:val="00C66CBF"/>
    <w:rsid w:val="00C71B8F"/>
    <w:rsid w:val="00C81A77"/>
    <w:rsid w:val="00C93DBE"/>
    <w:rsid w:val="00C97C41"/>
    <w:rsid w:val="00CA2F50"/>
    <w:rsid w:val="00CB12B9"/>
    <w:rsid w:val="00CB55F1"/>
    <w:rsid w:val="00CD5054"/>
    <w:rsid w:val="00CE25D0"/>
    <w:rsid w:val="00CE58B8"/>
    <w:rsid w:val="00CE73F7"/>
    <w:rsid w:val="00D04FFF"/>
    <w:rsid w:val="00D177B0"/>
    <w:rsid w:val="00D30804"/>
    <w:rsid w:val="00D324A5"/>
    <w:rsid w:val="00D3640F"/>
    <w:rsid w:val="00D40C63"/>
    <w:rsid w:val="00D42B4C"/>
    <w:rsid w:val="00D432C8"/>
    <w:rsid w:val="00D435B4"/>
    <w:rsid w:val="00D44F34"/>
    <w:rsid w:val="00D51612"/>
    <w:rsid w:val="00D53F45"/>
    <w:rsid w:val="00D55F5A"/>
    <w:rsid w:val="00D64EFF"/>
    <w:rsid w:val="00D73E17"/>
    <w:rsid w:val="00D807E0"/>
    <w:rsid w:val="00DB569B"/>
    <w:rsid w:val="00DD57E1"/>
    <w:rsid w:val="00DE1EEC"/>
    <w:rsid w:val="00DE6449"/>
    <w:rsid w:val="00DE6687"/>
    <w:rsid w:val="00DE7770"/>
    <w:rsid w:val="00E002A5"/>
    <w:rsid w:val="00E02498"/>
    <w:rsid w:val="00E158B2"/>
    <w:rsid w:val="00E215B6"/>
    <w:rsid w:val="00E25E2E"/>
    <w:rsid w:val="00E351CB"/>
    <w:rsid w:val="00E37A77"/>
    <w:rsid w:val="00E40F5A"/>
    <w:rsid w:val="00E57D5E"/>
    <w:rsid w:val="00E649EB"/>
    <w:rsid w:val="00E71C38"/>
    <w:rsid w:val="00E761F0"/>
    <w:rsid w:val="00E84A68"/>
    <w:rsid w:val="00E93688"/>
    <w:rsid w:val="00E9454A"/>
    <w:rsid w:val="00EA0570"/>
    <w:rsid w:val="00EA2876"/>
    <w:rsid w:val="00EA5920"/>
    <w:rsid w:val="00EA594D"/>
    <w:rsid w:val="00EA7B22"/>
    <w:rsid w:val="00EC2132"/>
    <w:rsid w:val="00EC3C1E"/>
    <w:rsid w:val="00ED5B7F"/>
    <w:rsid w:val="00EE4443"/>
    <w:rsid w:val="00EF14CC"/>
    <w:rsid w:val="00EF4AEC"/>
    <w:rsid w:val="00EF7825"/>
    <w:rsid w:val="00F0671F"/>
    <w:rsid w:val="00F06999"/>
    <w:rsid w:val="00F11AF8"/>
    <w:rsid w:val="00F1470E"/>
    <w:rsid w:val="00F16C18"/>
    <w:rsid w:val="00F177AC"/>
    <w:rsid w:val="00F24F5B"/>
    <w:rsid w:val="00F26421"/>
    <w:rsid w:val="00F27FDA"/>
    <w:rsid w:val="00F318C0"/>
    <w:rsid w:val="00F35FBA"/>
    <w:rsid w:val="00F40159"/>
    <w:rsid w:val="00F50360"/>
    <w:rsid w:val="00F6027A"/>
    <w:rsid w:val="00F83023"/>
    <w:rsid w:val="00F856AA"/>
    <w:rsid w:val="00FA329D"/>
    <w:rsid w:val="00FB1D1F"/>
    <w:rsid w:val="00FB4961"/>
    <w:rsid w:val="00FB562F"/>
    <w:rsid w:val="00FC2121"/>
    <w:rsid w:val="00FC2D31"/>
    <w:rsid w:val="00FC42D8"/>
    <w:rsid w:val="00FD2944"/>
    <w:rsid w:val="00FE58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29C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7D461F"/>
    <w:rPr>
      <w:sz w:val="20"/>
      <w:szCs w:val="20"/>
    </w:rPr>
  </w:style>
  <w:style w:type="character" w:styleId="a5">
    <w:name w:val="footnote reference"/>
    <w:semiHidden/>
    <w:rsid w:val="007D461F"/>
    <w:rPr>
      <w:vertAlign w:val="superscript"/>
    </w:rPr>
  </w:style>
  <w:style w:type="paragraph" w:styleId="a6">
    <w:name w:val="Balloon Text"/>
    <w:basedOn w:val="a"/>
    <w:link w:val="Char"/>
    <w:rsid w:val="00F1470E"/>
    <w:rPr>
      <w:rFonts w:ascii="Tahoma" w:hAnsi="Tahoma" w:cs="Tahoma"/>
      <w:sz w:val="16"/>
      <w:szCs w:val="16"/>
    </w:rPr>
  </w:style>
  <w:style w:type="character" w:customStyle="1" w:styleId="Char">
    <w:name w:val="Κείμενο πλαισίου Char"/>
    <w:link w:val="a6"/>
    <w:rsid w:val="00F1470E"/>
    <w:rPr>
      <w:rFonts w:ascii="Tahoma" w:hAnsi="Tahoma" w:cs="Tahoma"/>
      <w:sz w:val="16"/>
      <w:szCs w:val="16"/>
      <w:lang w:eastAsia="el-GR"/>
    </w:rPr>
  </w:style>
  <w:style w:type="paragraph" w:styleId="a7">
    <w:name w:val="Revision"/>
    <w:hidden/>
    <w:uiPriority w:val="99"/>
    <w:semiHidden/>
    <w:rsid w:val="00003D17"/>
    <w:rPr>
      <w:sz w:val="24"/>
      <w:szCs w:val="24"/>
    </w:rPr>
  </w:style>
  <w:style w:type="paragraph" w:styleId="a8">
    <w:name w:val="header"/>
    <w:basedOn w:val="a"/>
    <w:link w:val="Char0"/>
    <w:uiPriority w:val="99"/>
    <w:rsid w:val="00831AE9"/>
    <w:pPr>
      <w:tabs>
        <w:tab w:val="center" w:pos="4536"/>
        <w:tab w:val="right" w:pos="9072"/>
      </w:tabs>
    </w:pPr>
  </w:style>
  <w:style w:type="character" w:customStyle="1" w:styleId="Char0">
    <w:name w:val="Κεφαλίδα Char"/>
    <w:link w:val="a8"/>
    <w:uiPriority w:val="99"/>
    <w:rsid w:val="00831AE9"/>
    <w:rPr>
      <w:sz w:val="24"/>
      <w:szCs w:val="24"/>
      <w:lang w:eastAsia="el-GR"/>
    </w:rPr>
  </w:style>
  <w:style w:type="paragraph" w:styleId="a9">
    <w:name w:val="footer"/>
    <w:basedOn w:val="a"/>
    <w:link w:val="Char1"/>
    <w:rsid w:val="00831AE9"/>
    <w:pPr>
      <w:tabs>
        <w:tab w:val="center" w:pos="4536"/>
        <w:tab w:val="right" w:pos="9072"/>
      </w:tabs>
    </w:pPr>
  </w:style>
  <w:style w:type="character" w:customStyle="1" w:styleId="Char1">
    <w:name w:val="Υποσέλιδο Char"/>
    <w:link w:val="a9"/>
    <w:rsid w:val="00831AE9"/>
    <w:rPr>
      <w:sz w:val="24"/>
      <w:szCs w:val="24"/>
      <w:lang w:eastAsia="el-GR"/>
    </w:rPr>
  </w:style>
  <w:style w:type="character" w:styleId="aa">
    <w:name w:val="annotation reference"/>
    <w:rsid w:val="00AB5424"/>
    <w:rPr>
      <w:sz w:val="16"/>
      <w:szCs w:val="16"/>
    </w:rPr>
  </w:style>
  <w:style w:type="paragraph" w:styleId="ab">
    <w:name w:val="annotation text"/>
    <w:basedOn w:val="a"/>
    <w:link w:val="Char2"/>
    <w:rsid w:val="00AB5424"/>
    <w:rPr>
      <w:sz w:val="20"/>
      <w:szCs w:val="20"/>
    </w:rPr>
  </w:style>
  <w:style w:type="character" w:customStyle="1" w:styleId="Char2">
    <w:name w:val="Κείμενο σχολίου Char"/>
    <w:link w:val="ab"/>
    <w:rsid w:val="00AB5424"/>
    <w:rPr>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29C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7D461F"/>
    <w:rPr>
      <w:sz w:val="20"/>
      <w:szCs w:val="20"/>
    </w:rPr>
  </w:style>
  <w:style w:type="character" w:styleId="a5">
    <w:name w:val="footnote reference"/>
    <w:semiHidden/>
    <w:rsid w:val="007D461F"/>
    <w:rPr>
      <w:vertAlign w:val="superscript"/>
    </w:rPr>
  </w:style>
  <w:style w:type="paragraph" w:styleId="a6">
    <w:name w:val="Balloon Text"/>
    <w:basedOn w:val="a"/>
    <w:link w:val="Char"/>
    <w:rsid w:val="00F1470E"/>
    <w:rPr>
      <w:rFonts w:ascii="Tahoma" w:hAnsi="Tahoma" w:cs="Tahoma"/>
      <w:sz w:val="16"/>
      <w:szCs w:val="16"/>
    </w:rPr>
  </w:style>
  <w:style w:type="character" w:customStyle="1" w:styleId="Char">
    <w:name w:val="Κείμενο πλαισίου Char"/>
    <w:link w:val="a6"/>
    <w:rsid w:val="00F1470E"/>
    <w:rPr>
      <w:rFonts w:ascii="Tahoma" w:hAnsi="Tahoma" w:cs="Tahoma"/>
      <w:sz w:val="16"/>
      <w:szCs w:val="16"/>
      <w:lang w:eastAsia="el-GR"/>
    </w:rPr>
  </w:style>
  <w:style w:type="paragraph" w:styleId="a7">
    <w:name w:val="Revision"/>
    <w:hidden/>
    <w:uiPriority w:val="99"/>
    <w:semiHidden/>
    <w:rsid w:val="00003D17"/>
    <w:rPr>
      <w:sz w:val="24"/>
      <w:szCs w:val="24"/>
    </w:rPr>
  </w:style>
  <w:style w:type="paragraph" w:styleId="a8">
    <w:name w:val="header"/>
    <w:basedOn w:val="a"/>
    <w:link w:val="Char0"/>
    <w:uiPriority w:val="99"/>
    <w:rsid w:val="00831AE9"/>
    <w:pPr>
      <w:tabs>
        <w:tab w:val="center" w:pos="4536"/>
        <w:tab w:val="right" w:pos="9072"/>
      </w:tabs>
    </w:pPr>
  </w:style>
  <w:style w:type="character" w:customStyle="1" w:styleId="Char0">
    <w:name w:val="Κεφαλίδα Char"/>
    <w:link w:val="a8"/>
    <w:uiPriority w:val="99"/>
    <w:rsid w:val="00831AE9"/>
    <w:rPr>
      <w:sz w:val="24"/>
      <w:szCs w:val="24"/>
      <w:lang w:eastAsia="el-GR"/>
    </w:rPr>
  </w:style>
  <w:style w:type="paragraph" w:styleId="a9">
    <w:name w:val="footer"/>
    <w:basedOn w:val="a"/>
    <w:link w:val="Char1"/>
    <w:rsid w:val="00831AE9"/>
    <w:pPr>
      <w:tabs>
        <w:tab w:val="center" w:pos="4536"/>
        <w:tab w:val="right" w:pos="9072"/>
      </w:tabs>
    </w:pPr>
  </w:style>
  <w:style w:type="character" w:customStyle="1" w:styleId="Char1">
    <w:name w:val="Υποσέλιδο Char"/>
    <w:link w:val="a9"/>
    <w:rsid w:val="00831AE9"/>
    <w:rPr>
      <w:sz w:val="24"/>
      <w:szCs w:val="24"/>
      <w:lang w:eastAsia="el-GR"/>
    </w:rPr>
  </w:style>
  <w:style w:type="character" w:styleId="aa">
    <w:name w:val="annotation reference"/>
    <w:rsid w:val="00AB5424"/>
    <w:rPr>
      <w:sz w:val="16"/>
      <w:szCs w:val="16"/>
    </w:rPr>
  </w:style>
  <w:style w:type="paragraph" w:styleId="ab">
    <w:name w:val="annotation text"/>
    <w:basedOn w:val="a"/>
    <w:link w:val="Char2"/>
    <w:rsid w:val="00AB5424"/>
    <w:rPr>
      <w:sz w:val="20"/>
      <w:szCs w:val="20"/>
    </w:rPr>
  </w:style>
  <w:style w:type="character" w:customStyle="1" w:styleId="Char2">
    <w:name w:val="Κείμενο σχολίου Char"/>
    <w:link w:val="ab"/>
    <w:rsid w:val="00AB5424"/>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7006">
      <w:bodyDiv w:val="1"/>
      <w:marLeft w:val="0"/>
      <w:marRight w:val="0"/>
      <w:marTop w:val="0"/>
      <w:marBottom w:val="0"/>
      <w:divBdr>
        <w:top w:val="none" w:sz="0" w:space="0" w:color="auto"/>
        <w:left w:val="none" w:sz="0" w:space="0" w:color="auto"/>
        <w:bottom w:val="none" w:sz="0" w:space="0" w:color="auto"/>
        <w:right w:val="none" w:sz="0" w:space="0" w:color="auto"/>
      </w:divBdr>
    </w:div>
    <w:div w:id="189803360">
      <w:bodyDiv w:val="1"/>
      <w:marLeft w:val="0"/>
      <w:marRight w:val="0"/>
      <w:marTop w:val="0"/>
      <w:marBottom w:val="0"/>
      <w:divBdr>
        <w:top w:val="none" w:sz="0" w:space="0" w:color="auto"/>
        <w:left w:val="none" w:sz="0" w:space="0" w:color="auto"/>
        <w:bottom w:val="none" w:sz="0" w:space="0" w:color="auto"/>
        <w:right w:val="none" w:sz="0" w:space="0" w:color="auto"/>
      </w:divBdr>
      <w:divsChild>
        <w:div w:id="13381903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7876785">
      <w:bodyDiv w:val="1"/>
      <w:marLeft w:val="0"/>
      <w:marRight w:val="0"/>
      <w:marTop w:val="0"/>
      <w:marBottom w:val="0"/>
      <w:divBdr>
        <w:top w:val="none" w:sz="0" w:space="0" w:color="auto"/>
        <w:left w:val="none" w:sz="0" w:space="0" w:color="auto"/>
        <w:bottom w:val="none" w:sz="0" w:space="0" w:color="auto"/>
        <w:right w:val="none" w:sz="0" w:space="0" w:color="auto"/>
      </w:divBdr>
      <w:divsChild>
        <w:div w:id="942886331">
          <w:marLeft w:val="0"/>
          <w:marRight w:val="0"/>
          <w:marTop w:val="0"/>
          <w:marBottom w:val="0"/>
          <w:divBdr>
            <w:top w:val="none" w:sz="0" w:space="0" w:color="auto"/>
            <w:left w:val="none" w:sz="0" w:space="0" w:color="auto"/>
            <w:bottom w:val="none" w:sz="0" w:space="0" w:color="auto"/>
            <w:right w:val="none" w:sz="0" w:space="0" w:color="auto"/>
          </w:divBdr>
          <w:divsChild>
            <w:div w:id="1517042930">
              <w:marLeft w:val="0"/>
              <w:marRight w:val="0"/>
              <w:marTop w:val="0"/>
              <w:marBottom w:val="0"/>
              <w:divBdr>
                <w:top w:val="none" w:sz="0" w:space="0" w:color="auto"/>
                <w:left w:val="none" w:sz="0" w:space="0" w:color="auto"/>
                <w:bottom w:val="none" w:sz="0" w:space="0" w:color="auto"/>
                <w:right w:val="none" w:sz="0" w:space="0" w:color="auto"/>
              </w:divBdr>
              <w:divsChild>
                <w:div w:id="1428816141">
                  <w:marLeft w:val="0"/>
                  <w:marRight w:val="0"/>
                  <w:marTop w:val="0"/>
                  <w:marBottom w:val="0"/>
                  <w:divBdr>
                    <w:top w:val="none" w:sz="0" w:space="0" w:color="auto"/>
                    <w:left w:val="none" w:sz="0" w:space="0" w:color="auto"/>
                    <w:bottom w:val="none" w:sz="0" w:space="0" w:color="auto"/>
                    <w:right w:val="none" w:sz="0" w:space="0" w:color="auto"/>
                  </w:divBdr>
                  <w:divsChild>
                    <w:div w:id="368839433">
                      <w:marLeft w:val="0"/>
                      <w:marRight w:val="0"/>
                      <w:marTop w:val="0"/>
                      <w:marBottom w:val="0"/>
                      <w:divBdr>
                        <w:top w:val="none" w:sz="0" w:space="0" w:color="auto"/>
                        <w:left w:val="none" w:sz="0" w:space="0" w:color="auto"/>
                        <w:bottom w:val="none" w:sz="0" w:space="0" w:color="auto"/>
                        <w:right w:val="none" w:sz="0" w:space="0" w:color="auto"/>
                      </w:divBdr>
                      <w:divsChild>
                        <w:div w:id="1426654155">
                          <w:marLeft w:val="0"/>
                          <w:marRight w:val="0"/>
                          <w:marTop w:val="0"/>
                          <w:marBottom w:val="0"/>
                          <w:divBdr>
                            <w:top w:val="none" w:sz="0" w:space="0" w:color="auto"/>
                            <w:left w:val="none" w:sz="0" w:space="0" w:color="auto"/>
                            <w:bottom w:val="none" w:sz="0" w:space="0" w:color="auto"/>
                            <w:right w:val="none" w:sz="0" w:space="0" w:color="auto"/>
                          </w:divBdr>
                          <w:divsChild>
                            <w:div w:id="1082408623">
                              <w:marLeft w:val="0"/>
                              <w:marRight w:val="0"/>
                              <w:marTop w:val="0"/>
                              <w:marBottom w:val="0"/>
                              <w:divBdr>
                                <w:top w:val="none" w:sz="0" w:space="0" w:color="auto"/>
                                <w:left w:val="none" w:sz="0" w:space="0" w:color="auto"/>
                                <w:bottom w:val="none" w:sz="0" w:space="0" w:color="auto"/>
                                <w:right w:val="none" w:sz="0" w:space="0" w:color="auto"/>
                              </w:divBdr>
                              <w:divsChild>
                                <w:div w:id="437141511">
                                  <w:marLeft w:val="0"/>
                                  <w:marRight w:val="0"/>
                                  <w:marTop w:val="0"/>
                                  <w:marBottom w:val="0"/>
                                  <w:divBdr>
                                    <w:top w:val="none" w:sz="0" w:space="0" w:color="auto"/>
                                    <w:left w:val="none" w:sz="0" w:space="0" w:color="auto"/>
                                    <w:bottom w:val="none" w:sz="0" w:space="0" w:color="auto"/>
                                    <w:right w:val="none" w:sz="0" w:space="0" w:color="auto"/>
                                  </w:divBdr>
                                </w:div>
                                <w:div w:id="8241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193331">
      <w:bodyDiv w:val="1"/>
      <w:marLeft w:val="0"/>
      <w:marRight w:val="0"/>
      <w:marTop w:val="0"/>
      <w:marBottom w:val="0"/>
      <w:divBdr>
        <w:top w:val="none" w:sz="0" w:space="0" w:color="auto"/>
        <w:left w:val="none" w:sz="0" w:space="0" w:color="auto"/>
        <w:bottom w:val="none" w:sz="0" w:space="0" w:color="auto"/>
        <w:right w:val="none" w:sz="0" w:space="0" w:color="auto"/>
      </w:divBdr>
      <w:divsChild>
        <w:div w:id="1512791411">
          <w:marLeft w:val="0"/>
          <w:marRight w:val="0"/>
          <w:marTop w:val="0"/>
          <w:marBottom w:val="0"/>
          <w:divBdr>
            <w:top w:val="none" w:sz="0" w:space="0" w:color="auto"/>
            <w:left w:val="none" w:sz="0" w:space="0" w:color="auto"/>
            <w:bottom w:val="none" w:sz="0" w:space="0" w:color="auto"/>
            <w:right w:val="none" w:sz="0" w:space="0" w:color="auto"/>
          </w:divBdr>
          <w:divsChild>
            <w:div w:id="402872222">
              <w:marLeft w:val="0"/>
              <w:marRight w:val="0"/>
              <w:marTop w:val="0"/>
              <w:marBottom w:val="0"/>
              <w:divBdr>
                <w:top w:val="none" w:sz="0" w:space="0" w:color="auto"/>
                <w:left w:val="none" w:sz="0" w:space="0" w:color="auto"/>
                <w:bottom w:val="none" w:sz="0" w:space="0" w:color="auto"/>
                <w:right w:val="none" w:sz="0" w:space="0" w:color="auto"/>
              </w:divBdr>
              <w:divsChild>
                <w:div w:id="1892837210">
                  <w:marLeft w:val="0"/>
                  <w:marRight w:val="0"/>
                  <w:marTop w:val="0"/>
                  <w:marBottom w:val="0"/>
                  <w:divBdr>
                    <w:top w:val="none" w:sz="0" w:space="0" w:color="auto"/>
                    <w:left w:val="none" w:sz="0" w:space="0" w:color="auto"/>
                    <w:bottom w:val="none" w:sz="0" w:space="0" w:color="auto"/>
                    <w:right w:val="none" w:sz="0" w:space="0" w:color="auto"/>
                  </w:divBdr>
                  <w:divsChild>
                    <w:div w:id="1615794537">
                      <w:marLeft w:val="0"/>
                      <w:marRight w:val="0"/>
                      <w:marTop w:val="0"/>
                      <w:marBottom w:val="0"/>
                      <w:divBdr>
                        <w:top w:val="none" w:sz="0" w:space="0" w:color="auto"/>
                        <w:left w:val="none" w:sz="0" w:space="0" w:color="auto"/>
                        <w:bottom w:val="none" w:sz="0" w:space="0" w:color="auto"/>
                        <w:right w:val="none" w:sz="0" w:space="0" w:color="auto"/>
                      </w:divBdr>
                      <w:divsChild>
                        <w:div w:id="6147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542985">
      <w:bodyDiv w:val="1"/>
      <w:marLeft w:val="0"/>
      <w:marRight w:val="0"/>
      <w:marTop w:val="0"/>
      <w:marBottom w:val="0"/>
      <w:divBdr>
        <w:top w:val="none" w:sz="0" w:space="0" w:color="auto"/>
        <w:left w:val="none" w:sz="0" w:space="0" w:color="auto"/>
        <w:bottom w:val="none" w:sz="0" w:space="0" w:color="auto"/>
        <w:right w:val="none" w:sz="0" w:space="0" w:color="auto"/>
      </w:divBdr>
    </w:div>
    <w:div w:id="2046900298">
      <w:bodyDiv w:val="1"/>
      <w:marLeft w:val="390"/>
      <w:marRight w:val="390"/>
      <w:marTop w:val="0"/>
      <w:marBottom w:val="0"/>
      <w:divBdr>
        <w:top w:val="none" w:sz="0" w:space="0" w:color="auto"/>
        <w:left w:val="none" w:sz="0" w:space="0" w:color="auto"/>
        <w:bottom w:val="none" w:sz="0" w:space="0" w:color="auto"/>
        <w:right w:val="none" w:sz="0" w:space="0" w:color="auto"/>
      </w:divBdr>
    </w:div>
    <w:div w:id="20708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k Document" ma:contentTypeID="0x01010400988603A364794F7AA753E65AAE7328050053AB22DE63FCA944B3584B423FA763C1" ma:contentTypeVersion="5" ma:contentTypeDescription="Upload a any type of Document to this Document Library, Tag and Categorize." ma:contentTypeScope="" ma:versionID="da43069e4b40018dc32afd8f23a99e8c">
  <xsd:schema xmlns:xsd="http://www.w3.org/2001/XMLSchema" xmlns:xs="http://www.w3.org/2001/XMLSchema" xmlns:p="http://schemas.microsoft.com/office/2006/metadata/properties" xmlns:ns1="3f2ecb14-6aec-4688-b279-ec9b9954e969" targetNamespace="http://schemas.microsoft.com/office/2006/metadata/properties" ma:root="true" ma:fieldsID="2fc43e199eef0581ee1a99441bc801af" ns1:_="">
    <xsd:import namespace="3f2ecb14-6aec-4688-b279-ec9b9954e969"/>
    <xsd:element name="properties">
      <xsd:complexType>
        <xsd:sequence>
          <xsd:element name="documentManagement">
            <xsd:complexType>
              <xsd:all>
                <xsd:element ref="ns1:documentTitle" minOccurs="0"/>
                <xsd:element ref="ns1:documentSummary" minOccurs="0"/>
                <xsd:element ref="ns1:documentFollowUp" minOccurs="0"/>
                <xsd:element ref="ns1:_dlc_DocId" minOccurs="0"/>
                <xsd:element ref="ns1:_dlc_DocIdUrl" minOccurs="0"/>
                <xsd:element ref="ns1:_dlc_DocIdPersistId" minOccurs="0"/>
                <xsd:element ref="ns1:e4549d1593cd435c8e74b5da4b7d96db" minOccurs="0"/>
                <xsd:element ref="ns1:TaxCatchAll" minOccurs="0"/>
                <xsd:element ref="ns1:TaxCatchAllLabel" minOccurs="0"/>
                <xsd:element ref="ns1:g9f3532c81524a6bb9b67f99c7753d9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ecb14-6aec-4688-b279-ec9b9954e969"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FollowUp" ma:index="2" nillable="true" ma:displayName="Follow Up" ma:description="Any pertinent Information regarding the proposed Workflow to this document." ma:internalName="documentFollowUp">
      <xsd:simpleType>
        <xsd:restriction base="dms:Note">
          <xsd:maxLength value="255"/>
        </xsd:restriction>
      </xsd:simpleType>
    </xsd:element>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element name="e4549d1593cd435c8e74b5da4b7d96db" ma:index="6" nillable="true" ma:taxonomy="true" ma:internalName="e4549d1593cd435c8e74b5da4b7d96db" ma:taxonomyFieldName="documentGeneralTags" ma:displayName="General Tags" ma:fieldId="{e4549d15-93cd-435c-8e74-b5da4b7d96db}"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cfb85fa9-3d9b-4468-9f7e-a20cde10781b}" ma:internalName="TaxCatchAll" ma:showField="CatchAllData" ma:web="3f2ecb14-6aec-4688-b279-ec9b9954e96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cfb85fa9-3d9b-4468-9f7e-a20cde10781b}" ma:internalName="TaxCatchAllLabel" ma:readOnly="true" ma:showField="CatchAllDataLabel" ma:web="3f2ecb14-6aec-4688-b279-ec9b9954e969">
      <xsd:complexType>
        <xsd:complexContent>
          <xsd:extension base="dms:MultiChoiceLookup">
            <xsd:sequence>
              <xsd:element name="Value" type="dms:Lookup" maxOccurs="unbounded" minOccurs="0" nillable="true"/>
            </xsd:sequence>
          </xsd:extension>
        </xsd:complexContent>
      </xsd:complexType>
    </xsd:element>
    <xsd:element name="g9f3532c81524a6bb9b67f99c7753d9e" ma:index="10" nillable="true" ma:taxonomy="true" ma:internalName="g9f3532c81524a6bb9b67f99c7753d9e" ma:taxonomyFieldName="documentCaseTags" ma:displayName="Case Tags" ma:fieldId="{09f3532c-8152-4a6b-b9b6-7f99c7753d9e}" ma:taxonomyMulti="true" ma:sspId="0b3cc5dc-dc2a-4346-9392-57628a0b46cb" ma:termSetId="6fc33bb7-1682-4e7c-9f7f-6bf8fc53b4e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g9f3532c81524a6bb9b67f99c7753d9e xmlns="3f2ecb14-6aec-4688-b279-ec9b9954e969">
      <Terms xmlns="http://schemas.microsoft.com/office/infopath/2007/PartnerControls"/>
    </g9f3532c81524a6bb9b67f99c7753d9e>
    <documentFollowUp xmlns="3f2ecb14-6aec-4688-b279-ec9b9954e969" xsi:nil="true"/>
    <e4549d1593cd435c8e74b5da4b7d96db xmlns="3f2ecb14-6aec-4688-b279-ec9b9954e969">
      <Terms xmlns="http://schemas.microsoft.com/office/infopath/2007/PartnerControls"/>
    </e4549d1593cd435c8e74b5da4b7d96db>
    <documentTitle xmlns="3f2ecb14-6aec-4688-b279-ec9b9954e969" xsi:nil="true"/>
    <TaxCatchAll xmlns="3f2ecb14-6aec-4688-b279-ec9b9954e969"/>
    <documentSummary xmlns="3f2ecb14-6aec-4688-b279-ec9b9954e96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73FF1-9C89-49AB-B9C9-98841CCBDA03}">
  <ds:schemaRefs>
    <ds:schemaRef ds:uri="http://schemas.microsoft.com/sharepoint/events"/>
  </ds:schemaRefs>
</ds:datastoreItem>
</file>

<file path=customXml/itemProps2.xml><?xml version="1.0" encoding="utf-8"?>
<ds:datastoreItem xmlns:ds="http://schemas.openxmlformats.org/officeDocument/2006/customXml" ds:itemID="{78BFBCB4-B8AC-496A-B1B8-C07BBE1DA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ecb14-6aec-4688-b279-ec9b9954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0ECFA-03C6-49ED-B530-95FE023A84E7}">
  <ds:schemaRefs>
    <ds:schemaRef ds:uri="http://schemas.microsoft.com/office/2006/metadata/longProperties"/>
  </ds:schemaRefs>
</ds:datastoreItem>
</file>

<file path=customXml/itemProps4.xml><?xml version="1.0" encoding="utf-8"?>
<ds:datastoreItem xmlns:ds="http://schemas.openxmlformats.org/officeDocument/2006/customXml" ds:itemID="{41AC772A-A2F6-4367-B68B-C681C0D9DB54}">
  <ds:schemaRefs>
    <ds:schemaRef ds:uri="http://schemas.microsoft.com/office/2006/metadata/properties"/>
    <ds:schemaRef ds:uri="http://schemas.microsoft.com/office/infopath/2007/PartnerControls"/>
    <ds:schemaRef ds:uri="3f2ecb14-6aec-4688-b279-ec9b9954e969"/>
  </ds:schemaRefs>
</ds:datastoreItem>
</file>

<file path=customXml/itemProps5.xml><?xml version="1.0" encoding="utf-8"?>
<ds:datastoreItem xmlns:ds="http://schemas.openxmlformats.org/officeDocument/2006/customXml" ds:itemID="{3165171D-DD6B-4373-B3AB-85064DD7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3829</Words>
  <Characters>20678</Characters>
  <Application>Microsoft Office Word</Application>
  <DocSecurity>0</DocSecurity>
  <Lines>172</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General block exemption Regulation (Reg</vt:lpstr>
      <vt:lpstr>General block exemption Regulation (Reg</vt:lpstr>
    </vt:vector>
  </TitlesOfParts>
  <Company>European Commission</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block exemption Regulation (Reg</dc:title>
  <dc:creator>Stephanie Nieuwbourg</dc:creator>
  <cp:lastModifiedBy>Ρόζα Σαράφη</cp:lastModifiedBy>
  <cp:revision>2</cp:revision>
  <cp:lastPrinted>2015-01-23T09:21:00Z</cp:lastPrinted>
  <dcterms:created xsi:type="dcterms:W3CDTF">2019-03-27T09:04:00Z</dcterms:created>
  <dcterms:modified xsi:type="dcterms:W3CDTF">2019-03-27T09:04:00Z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seTags">
    <vt:lpwstr/>
  </property>
  <property fmtid="{D5CDD505-2E9C-101B-9397-08002B2CF9AE}" pid="3" name="documentGeneralTags">
    <vt:lpwstr/>
  </property>
  <property fmtid="{D5CDD505-2E9C-101B-9397-08002B2CF9AE}" pid="4" name="_dlc_DocId">
    <vt:lpwstr>DFHKP4SWDDZR-2-2773</vt:lpwstr>
  </property>
  <property fmtid="{D5CDD505-2E9C-101B-9397-08002B2CF9AE}" pid="5" name="_dlc_DocIdItemGuid">
    <vt:lpwstr>f350fa76-d0c2-47e8-944e-6b38a75255cb</vt:lpwstr>
  </property>
  <property fmtid="{D5CDD505-2E9C-101B-9397-08002B2CF9AE}" pid="6" name="_dlc_DocIdUrl">
    <vt:lpwstr>http://workspace/cases/HT.660/_layouts/15/DocIdRedir.aspx?ID=DFHKP4SWDDZR-2-2773, DFHKP4SWDDZR-2-2773</vt:lpwstr>
  </property>
</Properties>
</file>